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BF5A" w14:textId="3A2EAD60" w:rsidR="00F275A6" w:rsidRPr="00754571" w:rsidRDefault="00F275A6" w:rsidP="00F275A6">
      <w:pPr>
        <w:spacing w:before="100" w:beforeAutospacing="1" w:after="100" w:afterAutospacing="1"/>
        <w:jc w:val="center"/>
        <w:rPr>
          <w:rFonts w:ascii="Arial Narrow" w:hAnsi="Arial Narrow"/>
          <w:b/>
          <w:bCs/>
          <w:color w:val="C00000"/>
          <w:sz w:val="20"/>
          <w:szCs w:val="20"/>
        </w:rPr>
      </w:pPr>
      <w:r w:rsidRPr="00754571">
        <w:rPr>
          <w:rFonts w:ascii="Arial Narrow" w:hAnsi="Arial Narrow"/>
          <w:b/>
          <w:bCs/>
          <w:color w:val="C00000"/>
          <w:sz w:val="20"/>
          <w:szCs w:val="20"/>
        </w:rPr>
        <w:t>INSTRUCCIONES PRESCRIPCIONES TÉCNICAS</w:t>
      </w:r>
      <w:r w:rsidR="003F27BA">
        <w:rPr>
          <w:rFonts w:ascii="Arial Narrow" w:hAnsi="Arial Narrow"/>
          <w:b/>
          <w:bCs/>
          <w:color w:val="C00000"/>
          <w:sz w:val="20"/>
          <w:szCs w:val="20"/>
        </w:rPr>
        <w:t xml:space="preserve"> GENÉRICAS</w:t>
      </w:r>
    </w:p>
    <w:p w14:paraId="62C4A9A6" w14:textId="77777777" w:rsidR="00F275A6" w:rsidRPr="00754571" w:rsidRDefault="00F275A6" w:rsidP="00F275A6">
      <w:pPr>
        <w:spacing w:before="100" w:beforeAutospacing="1" w:after="100" w:afterAutospacing="1"/>
        <w:jc w:val="both"/>
        <w:rPr>
          <w:rFonts w:ascii="Arial Narrow" w:hAnsi="Arial Narrow"/>
          <w:color w:val="C00000"/>
          <w:sz w:val="20"/>
          <w:szCs w:val="20"/>
        </w:rPr>
      </w:pPr>
      <w:r w:rsidRPr="00754571">
        <w:rPr>
          <w:rFonts w:ascii="Arial Narrow" w:hAnsi="Arial Narrow"/>
          <w:color w:val="C00000"/>
          <w:sz w:val="20"/>
          <w:szCs w:val="20"/>
        </w:rPr>
        <w:t>Los pliegos de prescripciones técnicas que tengan que regir la ejecución de los contratos se elaborarán por los interesados, conforme al modelo adjunto.</w:t>
      </w:r>
    </w:p>
    <w:p w14:paraId="2DAD29DC" w14:textId="77777777" w:rsidR="00F275A6" w:rsidRPr="00754571" w:rsidRDefault="00F275A6" w:rsidP="00F275A6">
      <w:pPr>
        <w:spacing w:before="100" w:beforeAutospacing="1" w:after="100" w:afterAutospacing="1"/>
        <w:jc w:val="both"/>
        <w:rPr>
          <w:color w:val="C00000"/>
          <w:sz w:val="20"/>
          <w:szCs w:val="20"/>
        </w:rPr>
      </w:pPr>
      <w:r w:rsidRPr="00754571">
        <w:rPr>
          <w:rFonts w:ascii="Arial Narrow" w:hAnsi="Arial Narrow"/>
          <w:color w:val="C00000"/>
          <w:sz w:val="20"/>
          <w:szCs w:val="20"/>
        </w:rPr>
        <w:t>NO pueden incluirse cláusulas administrativas ni criterios de adjudicación ni otras cláusulas que no sean prescripciones técnicas</w:t>
      </w:r>
    </w:p>
    <w:p w14:paraId="672BAD9E" w14:textId="77777777" w:rsidR="00F275A6" w:rsidRPr="00754571" w:rsidRDefault="00F275A6" w:rsidP="00F275A6">
      <w:pPr>
        <w:spacing w:before="100" w:beforeAutospacing="1" w:after="100" w:afterAutospacing="1"/>
        <w:jc w:val="both"/>
        <w:rPr>
          <w:color w:val="C00000"/>
          <w:sz w:val="20"/>
          <w:szCs w:val="20"/>
        </w:rPr>
      </w:pPr>
      <w:r w:rsidRPr="00754571">
        <w:rPr>
          <w:rFonts w:ascii="Arial Narrow" w:hAnsi="Arial Narrow"/>
          <w:color w:val="C00000"/>
          <w:sz w:val="20"/>
          <w:szCs w:val="20"/>
        </w:rPr>
        <w:t>El Rector</w:t>
      </w:r>
      <w:r w:rsidR="006E62C3">
        <w:rPr>
          <w:rFonts w:ascii="Arial Narrow" w:hAnsi="Arial Narrow"/>
          <w:color w:val="C00000"/>
          <w:sz w:val="20"/>
          <w:szCs w:val="20"/>
        </w:rPr>
        <w:t>ado</w:t>
      </w:r>
      <w:r w:rsidRPr="00754571">
        <w:rPr>
          <w:rFonts w:ascii="Arial Narrow" w:hAnsi="Arial Narrow"/>
          <w:color w:val="C00000"/>
          <w:sz w:val="20"/>
          <w:szCs w:val="20"/>
        </w:rPr>
        <w:t xml:space="preserve"> aprobará con anterioridad a la autorización del gasto o </w:t>
      </w:r>
      <w:proofErr w:type="gramStart"/>
      <w:r w:rsidRPr="00754571">
        <w:rPr>
          <w:rFonts w:ascii="Arial Narrow" w:hAnsi="Arial Narrow"/>
          <w:color w:val="C00000"/>
          <w:sz w:val="20"/>
          <w:szCs w:val="20"/>
        </w:rPr>
        <w:t>conjuntamente con</w:t>
      </w:r>
      <w:proofErr w:type="gramEnd"/>
      <w:r w:rsidRPr="00754571">
        <w:rPr>
          <w:rFonts w:ascii="Arial Narrow" w:hAnsi="Arial Narrow"/>
          <w:color w:val="C00000"/>
          <w:sz w:val="20"/>
          <w:szCs w:val="20"/>
        </w:rPr>
        <w:t xml:space="preserve"> ella, y siempre antes de la licitación del contrato, los pliegos y documentos que contengan las prescripciones técnicas particulares que hayan de regir la realización de la prestación y definan sus calidades, de conformidad con los requisitos que para cada contrato establece la Ley de Contratos.</w:t>
      </w:r>
    </w:p>
    <w:p w14:paraId="11B0784B" w14:textId="77777777" w:rsidR="00F275A6" w:rsidRPr="00754571" w:rsidRDefault="00F275A6" w:rsidP="00F275A6">
      <w:pPr>
        <w:spacing w:before="100" w:beforeAutospacing="1" w:after="100" w:afterAutospacing="1"/>
        <w:jc w:val="both"/>
        <w:rPr>
          <w:color w:val="C00000"/>
          <w:sz w:val="20"/>
          <w:szCs w:val="20"/>
        </w:rPr>
      </w:pPr>
      <w:r w:rsidRPr="00754571">
        <w:rPr>
          <w:rFonts w:ascii="Arial Narrow" w:hAnsi="Arial Narrow"/>
          <w:color w:val="C00000"/>
          <w:sz w:val="20"/>
          <w:szCs w:val="20"/>
        </w:rPr>
        <w:t>Las prescripciones técnicas deberán permitir el acceso en condiciones de igualdad de los licitadores, sin que puedan tener por efecto la creación de obstáculos injustificados a la apertura de los contratos públicos a la competencia.</w:t>
      </w:r>
    </w:p>
    <w:p w14:paraId="3A038C52" w14:textId="77777777" w:rsidR="00F275A6" w:rsidRPr="00754571" w:rsidRDefault="00F275A6" w:rsidP="00F275A6">
      <w:pPr>
        <w:spacing w:before="100" w:beforeAutospacing="1" w:after="100" w:afterAutospacing="1"/>
        <w:jc w:val="both"/>
        <w:rPr>
          <w:color w:val="C00000"/>
          <w:sz w:val="20"/>
          <w:szCs w:val="20"/>
        </w:rPr>
      </w:pPr>
      <w:r w:rsidRPr="00754571">
        <w:rPr>
          <w:rFonts w:ascii="Arial Narrow" w:hAnsi="Arial Narrow"/>
          <w:color w:val="C00000"/>
          <w:sz w:val="20"/>
          <w:szCs w:val="20"/>
        </w:rPr>
        <w:t>Salvo que lo justifique el objeto del contrato, las especificaciones técnicas no podrán mencionar una fabricación o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de que no sea posible hacer una descripción lo bastante precisa e inteligible del objeto del contrato y deberá ir acompañada de la mención "o equivalente".</w:t>
      </w:r>
    </w:p>
    <w:p w14:paraId="352AECAC" w14:textId="77777777" w:rsidR="00F275A6" w:rsidRPr="00754571" w:rsidRDefault="00F275A6" w:rsidP="00F275A6">
      <w:pPr>
        <w:spacing w:before="100" w:beforeAutospacing="1" w:after="100" w:afterAutospacing="1"/>
        <w:jc w:val="both"/>
        <w:rPr>
          <w:color w:val="C00000"/>
          <w:sz w:val="20"/>
          <w:szCs w:val="20"/>
        </w:rPr>
      </w:pPr>
      <w:r w:rsidRPr="00754571">
        <w:rPr>
          <w:rFonts w:ascii="Arial Narrow" w:hAnsi="Arial Narrow"/>
          <w:color w:val="C00000"/>
          <w:sz w:val="20"/>
          <w:szCs w:val="20"/>
        </w:rPr>
        <w:t>Las prescripciones técnicas se definirán, en la medida de lo posible, teniendo en cuenta criterios de accesibilidad universal y de diseño para todos, y, siempre que el objeto del contrato afecte o pueda afectar al medio ambiente, aplicando criterios de sostenibilidad y protección ambiental.</w:t>
      </w:r>
    </w:p>
    <w:p w14:paraId="4AC655E1" w14:textId="77777777" w:rsidR="006E62C3" w:rsidRDefault="006E62C3" w:rsidP="006E62C3">
      <w:pPr>
        <w:spacing w:line="360" w:lineRule="auto"/>
        <w:jc w:val="both"/>
        <w:rPr>
          <w:rFonts w:ascii="Arial Narrow" w:hAnsi="Arial Narrow"/>
          <w:color w:val="C00000"/>
          <w:sz w:val="20"/>
          <w:szCs w:val="20"/>
        </w:rPr>
      </w:pPr>
      <w:r>
        <w:rPr>
          <w:rFonts w:ascii="Arial Narrow" w:hAnsi="Arial Narrow"/>
          <w:color w:val="C00000"/>
          <w:sz w:val="20"/>
          <w:szCs w:val="20"/>
        </w:rPr>
        <w:t>Ley de Contratos del Sector Público:</w:t>
      </w:r>
    </w:p>
    <w:p w14:paraId="35D978F2" w14:textId="77777777" w:rsidR="006E62C3" w:rsidRDefault="006E62C3" w:rsidP="006E62C3">
      <w:pPr>
        <w:numPr>
          <w:ilvl w:val="0"/>
          <w:numId w:val="6"/>
        </w:numPr>
        <w:ind w:left="1077" w:hanging="357"/>
        <w:jc w:val="both"/>
        <w:rPr>
          <w:rFonts w:ascii="Arial Narrow" w:hAnsi="Arial Narrow"/>
          <w:color w:val="C00000"/>
          <w:sz w:val="20"/>
          <w:szCs w:val="20"/>
        </w:rPr>
      </w:pPr>
      <w:r>
        <w:rPr>
          <w:rFonts w:ascii="Arial Narrow" w:hAnsi="Arial Narrow"/>
          <w:color w:val="C00000"/>
          <w:sz w:val="20"/>
          <w:szCs w:val="20"/>
        </w:rPr>
        <w:t xml:space="preserve">Artículo </w:t>
      </w:r>
      <w:r w:rsidR="0018313C">
        <w:rPr>
          <w:rFonts w:ascii="Arial Narrow" w:hAnsi="Arial Narrow"/>
          <w:color w:val="C00000"/>
          <w:sz w:val="20"/>
          <w:szCs w:val="20"/>
        </w:rPr>
        <w:t>124</w:t>
      </w:r>
      <w:r>
        <w:rPr>
          <w:rFonts w:ascii="Arial Narrow" w:hAnsi="Arial Narrow"/>
          <w:color w:val="C00000"/>
          <w:sz w:val="20"/>
          <w:szCs w:val="20"/>
        </w:rPr>
        <w:t>. Pliegos de prescripciones técnicas.</w:t>
      </w:r>
    </w:p>
    <w:p w14:paraId="7301BE71" w14:textId="77777777" w:rsidR="006E62C3" w:rsidRDefault="006E62C3" w:rsidP="006E62C3">
      <w:pPr>
        <w:numPr>
          <w:ilvl w:val="0"/>
          <w:numId w:val="6"/>
        </w:numPr>
        <w:ind w:left="1077" w:hanging="357"/>
        <w:jc w:val="both"/>
        <w:rPr>
          <w:rFonts w:ascii="Arial Narrow" w:hAnsi="Arial Narrow"/>
          <w:color w:val="C00000"/>
          <w:sz w:val="20"/>
          <w:szCs w:val="20"/>
        </w:rPr>
      </w:pPr>
      <w:r>
        <w:rPr>
          <w:rFonts w:ascii="Arial Narrow" w:hAnsi="Arial Narrow"/>
          <w:color w:val="C00000"/>
          <w:sz w:val="20"/>
          <w:szCs w:val="20"/>
        </w:rPr>
        <w:t xml:space="preserve">Artículo </w:t>
      </w:r>
      <w:r w:rsidR="0018313C">
        <w:rPr>
          <w:rFonts w:ascii="Arial Narrow" w:hAnsi="Arial Narrow"/>
          <w:color w:val="C00000"/>
          <w:sz w:val="20"/>
          <w:szCs w:val="20"/>
        </w:rPr>
        <w:t>126</w:t>
      </w:r>
      <w:r>
        <w:rPr>
          <w:rFonts w:ascii="Arial Narrow" w:hAnsi="Arial Narrow"/>
          <w:color w:val="C00000"/>
          <w:sz w:val="20"/>
          <w:szCs w:val="20"/>
        </w:rPr>
        <w:t>. Reglas para el establecimiento de prescripciones técnicas.</w:t>
      </w:r>
    </w:p>
    <w:p w14:paraId="0E9C1F51" w14:textId="77777777" w:rsidR="00535F19" w:rsidRDefault="00535F19" w:rsidP="00535F19">
      <w:pPr>
        <w:jc w:val="both"/>
        <w:rPr>
          <w:rFonts w:ascii="Arial Narrow" w:hAnsi="Arial Narrow"/>
          <w:color w:val="C00000"/>
          <w:sz w:val="20"/>
          <w:szCs w:val="20"/>
        </w:rPr>
      </w:pPr>
    </w:p>
    <w:p w14:paraId="05EE4CB7" w14:textId="0AE758F5" w:rsidR="00AF385C" w:rsidRPr="00E31342" w:rsidRDefault="00AF385C" w:rsidP="001C053D">
      <w:pPr>
        <w:jc w:val="center"/>
        <w:rPr>
          <w:rFonts w:ascii="Arial Narrow" w:hAnsi="Arial Narrow"/>
          <w:b/>
          <w:bCs/>
        </w:rPr>
      </w:pPr>
      <w:r w:rsidRPr="00E31342">
        <w:rPr>
          <w:rFonts w:ascii="Arial Narrow" w:hAnsi="Arial Narrow"/>
          <w:b/>
          <w:bCs/>
        </w:rPr>
        <w:t>INSTRUCCIONES ESPECÍFICAS</w:t>
      </w:r>
      <w:r w:rsidR="003F27BA">
        <w:rPr>
          <w:rFonts w:ascii="Arial Narrow" w:hAnsi="Arial Narrow"/>
          <w:b/>
          <w:bCs/>
        </w:rPr>
        <w:t xml:space="preserve"> NEXT GENERATION</w:t>
      </w:r>
    </w:p>
    <w:p w14:paraId="535BBD07" w14:textId="77777777" w:rsidR="00A17AE7" w:rsidRPr="00A17AE7" w:rsidRDefault="00A17AE7" w:rsidP="001C053D">
      <w:pPr>
        <w:spacing w:before="240" w:line="288" w:lineRule="auto"/>
        <w:ind w:right="-1"/>
        <w:jc w:val="both"/>
        <w:rPr>
          <w:rFonts w:ascii="Arial Narrow" w:hAnsi="Arial Narrow"/>
        </w:rPr>
      </w:pPr>
      <w:r w:rsidRPr="00A17AE7">
        <w:rPr>
          <w:rFonts w:ascii="Arial Narrow" w:hAnsi="Arial Narrow"/>
        </w:rPr>
        <w:t xml:space="preserve">Se hará mención expresa en el PPT al </w:t>
      </w:r>
      <w:r w:rsidRPr="00A17AE7">
        <w:rPr>
          <w:rFonts w:ascii="Arial Narrow" w:hAnsi="Arial Narrow"/>
          <w:b/>
        </w:rPr>
        <w:t>COMPONENTE, MEDIDA (Inversión o Reforma) y SUBPROYECTO TRACTOR</w:t>
      </w:r>
      <w:r w:rsidRPr="00A17AE7">
        <w:rPr>
          <w:rFonts w:ascii="Arial Narrow" w:hAnsi="Arial Narrow"/>
        </w:rPr>
        <w:t xml:space="preserve"> que se pretende desarrollar con el contrato descrito. </w:t>
      </w:r>
    </w:p>
    <w:p w14:paraId="145F2E47" w14:textId="12C91E88" w:rsidR="000520D5" w:rsidRPr="000520D5" w:rsidRDefault="000520D5" w:rsidP="001C053D">
      <w:pPr>
        <w:spacing w:before="240" w:line="276" w:lineRule="auto"/>
        <w:jc w:val="both"/>
        <w:rPr>
          <w:rFonts w:ascii="Arial Narrow" w:hAnsi="Arial Narrow"/>
          <w:b/>
          <w:bCs/>
        </w:rPr>
      </w:pPr>
      <w:r w:rsidRPr="000520D5">
        <w:rPr>
          <w:rFonts w:ascii="Arial Narrow" w:hAnsi="Arial Narrow"/>
          <w:b/>
          <w:bCs/>
        </w:rPr>
        <w:t>ETIQUETADO VERDE Y DIGITAL</w:t>
      </w:r>
    </w:p>
    <w:p w14:paraId="2E8C2368" w14:textId="3AD18EC7" w:rsidR="00A17AE7" w:rsidRPr="00A17AE7" w:rsidRDefault="00A17AE7" w:rsidP="00084A51">
      <w:pPr>
        <w:spacing w:line="276" w:lineRule="auto"/>
        <w:jc w:val="both"/>
        <w:rPr>
          <w:rFonts w:ascii="Arial Narrow" w:hAnsi="Arial Narrow"/>
        </w:rPr>
      </w:pPr>
      <w:r w:rsidRPr="00A17AE7">
        <w:rPr>
          <w:rFonts w:ascii="Arial Narrow" w:hAnsi="Arial Narrow"/>
        </w:rPr>
        <w:t xml:space="preserve">En el PPT se incluirán referencias al cumplimiento de las obligaciones asumidas </w:t>
      </w:r>
      <w:r w:rsidR="0058345F">
        <w:rPr>
          <w:rFonts w:ascii="Arial Narrow" w:hAnsi="Arial Narrow"/>
        </w:rPr>
        <w:t xml:space="preserve">(al solicitar y obtener la subvención) </w:t>
      </w:r>
      <w:r w:rsidRPr="00A17AE7">
        <w:rPr>
          <w:rFonts w:ascii="Arial Narrow" w:hAnsi="Arial Narrow"/>
        </w:rPr>
        <w:t xml:space="preserve">en materia al </w:t>
      </w:r>
      <w:r w:rsidRPr="00A17AE7">
        <w:rPr>
          <w:rFonts w:ascii="Arial Narrow" w:hAnsi="Arial Narrow"/>
          <w:b/>
        </w:rPr>
        <w:t>etiquetado verde y digital</w:t>
      </w:r>
      <w:r w:rsidRPr="00A17AE7">
        <w:rPr>
          <w:rFonts w:ascii="Arial Narrow" w:hAnsi="Arial Narrow"/>
        </w:rPr>
        <w:t xml:space="preserve"> y los mecanismos establecidos para su control.</w:t>
      </w:r>
    </w:p>
    <w:p w14:paraId="4944FC4B" w14:textId="77777777" w:rsidR="00A17AE7" w:rsidRPr="00A17AE7" w:rsidRDefault="00A17AE7" w:rsidP="001C053D">
      <w:pPr>
        <w:spacing w:before="240" w:line="276" w:lineRule="auto"/>
        <w:jc w:val="both"/>
        <w:rPr>
          <w:rFonts w:ascii="Arial Narrow" w:hAnsi="Arial Narrow"/>
        </w:rPr>
      </w:pPr>
      <w:r w:rsidRPr="00A17AE7">
        <w:rPr>
          <w:rFonts w:ascii="Arial Narrow" w:hAnsi="Arial Narrow"/>
        </w:rPr>
        <w:t xml:space="preserve">En caso de que la inversión concreta en la que se incluye la medida tenga asociada una </w:t>
      </w:r>
      <w:r w:rsidRPr="00084A51">
        <w:rPr>
          <w:rFonts w:ascii="Arial Narrow" w:hAnsi="Arial Narrow"/>
          <w:b/>
          <w:bCs/>
        </w:rPr>
        <w:t>etiqueta climática</w:t>
      </w:r>
      <w:r w:rsidRPr="00A17AE7">
        <w:rPr>
          <w:rFonts w:ascii="Arial Narrow" w:hAnsi="Arial Narrow"/>
        </w:rPr>
        <w:t xml:space="preserve">, deberá incluirse la siguiente referencia: </w:t>
      </w:r>
    </w:p>
    <w:p w14:paraId="7E0904D4" w14:textId="77777777" w:rsidR="00A17AE7" w:rsidRPr="00A17AE7" w:rsidRDefault="00A17AE7" w:rsidP="001C053D">
      <w:pPr>
        <w:spacing w:line="276" w:lineRule="auto"/>
        <w:ind w:left="720"/>
        <w:jc w:val="both"/>
        <w:rPr>
          <w:rFonts w:ascii="Arial Narrow" w:hAnsi="Arial Narrow"/>
        </w:rPr>
      </w:pPr>
      <w:r w:rsidRPr="00A17AE7">
        <w:rPr>
          <w:rFonts w:ascii="Arial Narrow" w:hAnsi="Arial Narrow"/>
        </w:rPr>
        <w:t>“</w:t>
      </w:r>
      <w:r w:rsidRPr="00021520">
        <w:rPr>
          <w:rFonts w:ascii="Arial Narrow" w:hAnsi="Arial Narrow"/>
          <w:i/>
          <w:iCs/>
        </w:rPr>
        <w:t>Esta medida contribuye a los objetivos climáticos y medioambientales de la acción por el clima, en los términos previstos por el anexo VI del Reglamento 2021/241 del Parlamento Europeo y del Consejo de 12 de febrero de 2021 por el que se establece el Mecanismo de Recuperación y Resiliencia</w:t>
      </w:r>
      <w:r w:rsidRPr="00A17AE7">
        <w:rPr>
          <w:rFonts w:ascii="Arial Narrow" w:hAnsi="Arial Narrow"/>
        </w:rPr>
        <w:t xml:space="preserve">”.  </w:t>
      </w:r>
    </w:p>
    <w:p w14:paraId="354651A1" w14:textId="77777777" w:rsidR="00A17AE7" w:rsidRPr="00A17AE7" w:rsidRDefault="00A17AE7" w:rsidP="00084A51">
      <w:pPr>
        <w:spacing w:before="240" w:line="276" w:lineRule="auto"/>
        <w:jc w:val="both"/>
        <w:rPr>
          <w:rFonts w:ascii="Arial Narrow" w:hAnsi="Arial Narrow"/>
        </w:rPr>
      </w:pPr>
      <w:r w:rsidRPr="00A17AE7">
        <w:rPr>
          <w:rFonts w:ascii="Arial Narrow" w:hAnsi="Arial Narrow"/>
        </w:rPr>
        <w:t xml:space="preserve">En el resto de las inversiones que no tienen asociada una etiqueta verde ni digital, como es el caso, por ejemplo, de las inversiones asociadas al componente 17- medida I2, se indicará:  </w:t>
      </w:r>
    </w:p>
    <w:p w14:paraId="65B66E4B" w14:textId="77777777" w:rsidR="00A17AE7" w:rsidRPr="00A17AE7" w:rsidRDefault="00A17AE7" w:rsidP="001C053D">
      <w:pPr>
        <w:spacing w:line="276" w:lineRule="auto"/>
        <w:ind w:left="720"/>
        <w:jc w:val="both"/>
        <w:rPr>
          <w:rFonts w:ascii="Arial Narrow" w:hAnsi="Arial Narrow"/>
        </w:rPr>
      </w:pPr>
      <w:r w:rsidRPr="00A17AE7">
        <w:rPr>
          <w:rFonts w:ascii="Arial Narrow" w:hAnsi="Arial Narrow"/>
        </w:rPr>
        <w:lastRenderedPageBreak/>
        <w:t>“</w:t>
      </w:r>
      <w:r w:rsidRPr="00021520">
        <w:rPr>
          <w:rFonts w:ascii="Arial Narrow" w:hAnsi="Arial Narrow"/>
          <w:i/>
          <w:iCs/>
        </w:rPr>
        <w:t>Esta medida no tiene asociada una etiqueta verde ni digital en los términos previstos por los anexos VI y VII del Reglamento 2021/241 del Parlamento Europeo y del Consejo de 12 de febrero de 2021 por el que se establece el Mecanismo de Recuperación y Resiliencia</w:t>
      </w:r>
      <w:r w:rsidRPr="00A17AE7">
        <w:rPr>
          <w:rFonts w:ascii="Arial Narrow" w:hAnsi="Arial Narrow"/>
        </w:rPr>
        <w:t>.”</w:t>
      </w:r>
    </w:p>
    <w:p w14:paraId="63FA0155" w14:textId="31CFA773" w:rsidR="00084A51" w:rsidRPr="0024260F" w:rsidRDefault="0024260F" w:rsidP="0024260F">
      <w:pPr>
        <w:spacing w:before="240" w:line="276" w:lineRule="auto"/>
        <w:jc w:val="both"/>
        <w:rPr>
          <w:rFonts w:ascii="Arial Narrow" w:hAnsi="Arial Narrow"/>
          <w:b/>
          <w:bCs/>
        </w:rPr>
      </w:pPr>
      <w:r w:rsidRPr="0024260F">
        <w:rPr>
          <w:rFonts w:ascii="Arial Narrow" w:hAnsi="Arial Narrow"/>
          <w:b/>
          <w:bCs/>
        </w:rPr>
        <w:t>IMPACTO EN EL MEDIO AMBIENTE</w:t>
      </w:r>
    </w:p>
    <w:p w14:paraId="279529A9" w14:textId="373E16B5" w:rsidR="00A17AE7" w:rsidRPr="00A17AE7" w:rsidRDefault="00A17AE7" w:rsidP="001C053D">
      <w:pPr>
        <w:spacing w:line="276" w:lineRule="auto"/>
        <w:jc w:val="both"/>
        <w:rPr>
          <w:rFonts w:ascii="Arial Narrow" w:hAnsi="Arial Narrow"/>
          <w:b/>
        </w:rPr>
      </w:pPr>
      <w:r w:rsidRPr="00A17AE7">
        <w:rPr>
          <w:rFonts w:ascii="Arial Narrow" w:hAnsi="Arial Narrow"/>
        </w:rPr>
        <w:t xml:space="preserve">Se indicará expresamente si con la ejecución del contrato existen posibles impactos negativos significativos para el medioambiente: Do no </w:t>
      </w:r>
      <w:proofErr w:type="spellStart"/>
      <w:r w:rsidRPr="00A17AE7">
        <w:rPr>
          <w:rFonts w:ascii="Arial Narrow" w:hAnsi="Arial Narrow"/>
        </w:rPr>
        <w:t>significant</w:t>
      </w:r>
      <w:proofErr w:type="spellEnd"/>
      <w:r w:rsidRPr="00A17AE7">
        <w:rPr>
          <w:rFonts w:ascii="Arial Narrow" w:hAnsi="Arial Narrow"/>
        </w:rPr>
        <w:t xml:space="preserve"> </w:t>
      </w:r>
      <w:proofErr w:type="spellStart"/>
      <w:r w:rsidRPr="00A17AE7">
        <w:rPr>
          <w:rFonts w:ascii="Arial Narrow" w:hAnsi="Arial Narrow"/>
        </w:rPr>
        <w:t>harm</w:t>
      </w:r>
      <w:proofErr w:type="spellEnd"/>
      <w:r w:rsidRPr="00A17AE7">
        <w:rPr>
          <w:rFonts w:ascii="Arial Narrow" w:hAnsi="Arial Narrow"/>
        </w:rPr>
        <w:t xml:space="preserve"> </w:t>
      </w:r>
      <w:r w:rsidRPr="00A17AE7">
        <w:rPr>
          <w:rFonts w:ascii="Arial Narrow" w:hAnsi="Arial Narrow"/>
          <w:b/>
        </w:rPr>
        <w:t>(DNSH).</w:t>
      </w:r>
    </w:p>
    <w:p w14:paraId="6ABFB397" w14:textId="77777777" w:rsidR="00A17AE7" w:rsidRPr="00A17AE7" w:rsidRDefault="00A17AE7" w:rsidP="007D6C32">
      <w:pPr>
        <w:spacing w:before="240" w:line="276" w:lineRule="auto"/>
        <w:jc w:val="both"/>
        <w:rPr>
          <w:rFonts w:ascii="Arial Narrow" w:hAnsi="Arial Narrow"/>
        </w:rPr>
      </w:pPr>
      <w:r w:rsidRPr="00A17AE7">
        <w:rPr>
          <w:rFonts w:ascii="Arial Narrow" w:hAnsi="Arial Narrow"/>
        </w:rPr>
        <w:t xml:space="preserve">Debería incluirse una referencia genérica al cumplimiento del principio DNSH que, no obstante, será </w:t>
      </w:r>
      <w:r w:rsidRPr="005A0A7B">
        <w:rPr>
          <w:rFonts w:ascii="Arial Narrow" w:hAnsi="Arial Narrow"/>
          <w:u w:val="single"/>
        </w:rPr>
        <w:t>desarrollado en las obligaciones del contratista</w:t>
      </w:r>
      <w:r w:rsidRPr="00A17AE7">
        <w:rPr>
          <w:rFonts w:ascii="Arial Narrow" w:hAnsi="Arial Narrow"/>
        </w:rPr>
        <w:t xml:space="preserve">: </w:t>
      </w:r>
    </w:p>
    <w:p w14:paraId="57599C11" w14:textId="3C7EFB16" w:rsidR="00A17AE7" w:rsidRPr="00A17AE7" w:rsidRDefault="00A17AE7" w:rsidP="001C053D">
      <w:pPr>
        <w:spacing w:line="276" w:lineRule="auto"/>
        <w:ind w:left="720"/>
        <w:jc w:val="both"/>
        <w:rPr>
          <w:rFonts w:ascii="Arial Narrow" w:hAnsi="Arial Narrow"/>
        </w:rPr>
      </w:pPr>
      <w:r w:rsidRPr="00A17AE7">
        <w:rPr>
          <w:rFonts w:ascii="Arial Narrow" w:hAnsi="Arial Narrow"/>
        </w:rPr>
        <w:t>“</w:t>
      </w:r>
      <w:r w:rsidRPr="005A0A7B">
        <w:rPr>
          <w:rFonts w:ascii="Arial Narrow" w:hAnsi="Arial Narrow"/>
          <w:i/>
          <w:iCs/>
        </w:rPr>
        <w:t xml:space="preserve">Que, en cumplimiento con lo dispuesto en el Plan de Recuperación, en el Reglamento (UE) 2021/241 de 12 de febrero de 2021 por el que se establece el Mecanismo de Recuperación y Resiliencia, y su normativa de desarrollo, en particular la Comunicación de la Comisión (2021/C 58/01) Guía técnica sobre la aplicación del principio de «no causar un perjuicio significativo», así como con lo requerido en la Decisión de Ejecución del Consejo relativa a la aprobación de la evaluación del plan de recuperación y resiliencia de España (CID), todas las actuaciones financiadas que se llevarán a cabo en el marco de este contrato, deben respetar el principio de no causar un perjuicio significativo al medioambiente (principio DNSH por sus siglas en inglés, “Do No </w:t>
      </w:r>
      <w:proofErr w:type="spellStart"/>
      <w:r w:rsidRPr="005A0A7B">
        <w:rPr>
          <w:rFonts w:ascii="Arial Narrow" w:hAnsi="Arial Narrow"/>
          <w:i/>
          <w:iCs/>
        </w:rPr>
        <w:t>Significant</w:t>
      </w:r>
      <w:proofErr w:type="spellEnd"/>
      <w:r w:rsidRPr="005A0A7B">
        <w:rPr>
          <w:rFonts w:ascii="Arial Narrow" w:hAnsi="Arial Narrow"/>
          <w:i/>
          <w:iCs/>
        </w:rPr>
        <w:t xml:space="preserve"> </w:t>
      </w:r>
      <w:proofErr w:type="spellStart"/>
      <w:r w:rsidRPr="005A0A7B">
        <w:rPr>
          <w:rFonts w:ascii="Arial Narrow" w:hAnsi="Arial Narrow"/>
          <w:i/>
          <w:iCs/>
        </w:rPr>
        <w:t>Harm</w:t>
      </w:r>
      <w:proofErr w:type="spellEnd"/>
      <w:r w:rsidRPr="005A0A7B">
        <w:rPr>
          <w:rFonts w:ascii="Arial Narrow" w:hAnsi="Arial Narrow"/>
          <w:i/>
          <w:iCs/>
        </w:rPr>
        <w:t xml:space="preserve">”). </w:t>
      </w:r>
    </w:p>
    <w:p w14:paraId="6F8BE145" w14:textId="44D6E2B7" w:rsidR="00750327" w:rsidRDefault="00750327" w:rsidP="00B72F82">
      <w:pPr>
        <w:spacing w:before="240" w:line="288" w:lineRule="auto"/>
        <w:jc w:val="both"/>
        <w:rPr>
          <w:rFonts w:ascii="Arial Narrow" w:hAnsi="Arial Narrow"/>
        </w:rPr>
      </w:pPr>
      <w:r w:rsidRPr="00A316C2">
        <w:rPr>
          <w:rFonts w:ascii="Arial Narrow" w:hAnsi="Arial Narrow"/>
          <w:b/>
          <w:u w:val="single"/>
        </w:rPr>
        <w:t>EQUIPAMIENTO E INSTALACIONES E INFRAESTRUCTURAS DE IT</w:t>
      </w:r>
    </w:p>
    <w:p w14:paraId="4D61607B" w14:textId="13F66BA2" w:rsidR="00CA2E5A" w:rsidRPr="00A316C2" w:rsidRDefault="00CA2E5A" w:rsidP="00750327">
      <w:pPr>
        <w:spacing w:line="288" w:lineRule="auto"/>
        <w:jc w:val="both"/>
        <w:rPr>
          <w:rFonts w:ascii="Arial Narrow" w:hAnsi="Arial Narrow"/>
        </w:rPr>
      </w:pPr>
      <w:r w:rsidRPr="00A316C2">
        <w:rPr>
          <w:rFonts w:ascii="Arial Narrow" w:hAnsi="Arial Narrow"/>
        </w:rPr>
        <w:t xml:space="preserve">En las </w:t>
      </w:r>
      <w:r w:rsidRPr="00A316C2">
        <w:rPr>
          <w:rFonts w:ascii="Arial Narrow" w:hAnsi="Arial Narrow"/>
          <w:b/>
        </w:rPr>
        <w:t>actuaciones</w:t>
      </w:r>
      <w:r w:rsidRPr="00A316C2">
        <w:rPr>
          <w:rFonts w:ascii="Arial Narrow" w:hAnsi="Arial Narrow"/>
        </w:rPr>
        <w:t xml:space="preserve"> relativas a </w:t>
      </w:r>
      <w:r w:rsidRPr="00A316C2">
        <w:rPr>
          <w:rFonts w:ascii="Arial Narrow" w:hAnsi="Arial Narrow"/>
          <w:b/>
          <w:u w:val="single"/>
        </w:rPr>
        <w:t>equipamiento e instalaciones e infraestructuras de IT</w:t>
      </w:r>
      <w:r w:rsidRPr="00A316C2">
        <w:rPr>
          <w:rFonts w:ascii="Arial Narrow" w:hAnsi="Arial Narrow"/>
          <w:b/>
        </w:rPr>
        <w:t>,</w:t>
      </w:r>
      <w:r w:rsidRPr="00A316C2">
        <w:rPr>
          <w:rFonts w:ascii="Arial Narrow" w:hAnsi="Arial Narrow"/>
        </w:rPr>
        <w:t xml:space="preserve"> el </w:t>
      </w:r>
      <w:r w:rsidR="00B72F82">
        <w:rPr>
          <w:rFonts w:ascii="Arial Narrow" w:hAnsi="Arial Narrow"/>
        </w:rPr>
        <w:t>contratista</w:t>
      </w:r>
      <w:r w:rsidRPr="00A316C2">
        <w:rPr>
          <w:rFonts w:ascii="Arial Narrow" w:hAnsi="Arial Narrow"/>
        </w:rPr>
        <w:t xml:space="preserve"> garantizará, en función de las características de </w:t>
      </w:r>
      <w:proofErr w:type="gramStart"/>
      <w:r w:rsidRPr="00A316C2">
        <w:rPr>
          <w:rFonts w:ascii="Arial Narrow" w:hAnsi="Arial Narrow"/>
        </w:rPr>
        <w:t>la misma</w:t>
      </w:r>
      <w:proofErr w:type="gramEnd"/>
      <w:r w:rsidRPr="00A316C2">
        <w:rPr>
          <w:rFonts w:ascii="Arial Narrow" w:hAnsi="Arial Narrow"/>
        </w:rPr>
        <w:t>, que no se perjudique a ninguno de los seis objetivos medioambientales definidos en el Reglamento (UE) 2021/241 del Parlamento Europeo y se comprometerán a que:</w:t>
      </w:r>
    </w:p>
    <w:p w14:paraId="62A74A23" w14:textId="77777777" w:rsidR="00CA2E5A" w:rsidRPr="00A316C2" w:rsidRDefault="00CA2E5A" w:rsidP="00CA2E5A">
      <w:pPr>
        <w:pStyle w:val="Prrafodelista"/>
        <w:numPr>
          <w:ilvl w:val="0"/>
          <w:numId w:val="9"/>
        </w:numPr>
        <w:spacing w:after="0" w:line="288" w:lineRule="auto"/>
        <w:jc w:val="both"/>
        <w:rPr>
          <w:rFonts w:ascii="Arial Narrow" w:hAnsi="Arial Narrow"/>
          <w:sz w:val="24"/>
          <w:szCs w:val="24"/>
          <w:lang w:val="es-ES"/>
        </w:rPr>
      </w:pPr>
      <w:r w:rsidRPr="00A316C2">
        <w:rPr>
          <w:rFonts w:ascii="Arial Narrow" w:hAnsi="Arial Narrow"/>
          <w:sz w:val="24"/>
          <w:szCs w:val="24"/>
          <w:lang w:val="es-ES"/>
        </w:rPr>
        <w:t>Los equipos cumplan con los requisitos relacionados con el consumo energético y con la eficiencia de materiales establecidos en la Directiva 2009/125/EC del Parlamento Europeo y del Consejo de 21 de octubre de 2009 por la que se instaura un marco para el establecimiento de requisitos de diseño ecológico aplicables a los productos relacionados con la energía, para servidores y almacenamiento de datos, u ordenadores y servidores de ordenadores o pantallas electrónicas.</w:t>
      </w:r>
    </w:p>
    <w:p w14:paraId="527B6EFE" w14:textId="77777777" w:rsidR="00CA2E5A" w:rsidRPr="00A316C2" w:rsidRDefault="00CA2E5A" w:rsidP="00CA2E5A">
      <w:pPr>
        <w:pStyle w:val="Prrafodelista"/>
        <w:numPr>
          <w:ilvl w:val="0"/>
          <w:numId w:val="9"/>
        </w:numPr>
        <w:spacing w:after="0" w:line="288" w:lineRule="auto"/>
        <w:jc w:val="both"/>
        <w:rPr>
          <w:rFonts w:ascii="Arial Narrow" w:hAnsi="Arial Narrow"/>
          <w:sz w:val="24"/>
          <w:szCs w:val="24"/>
          <w:lang w:val="es-ES"/>
        </w:rPr>
      </w:pPr>
      <w:r w:rsidRPr="00A316C2">
        <w:rPr>
          <w:rFonts w:ascii="Arial Narrow" w:hAnsi="Arial Narrow"/>
          <w:sz w:val="24"/>
          <w:szCs w:val="24"/>
          <w:lang w:val="es-ES"/>
        </w:rPr>
        <w:t>Los equipos no contengan las sustancias restringidas enumeradas en el anexo II de la Directiva 2011/65/UE del Parlamento Europeo y del Consejo de 8 de junio de 2011 sobre restricciones a la utilización de determinadas sustancias peligrosas en aparatos eléctricos y electrónicos, excepto cuando los valores de concentración en peso en materiales homogéneos no superen tos enumerados en dicho anexo.</w:t>
      </w:r>
    </w:p>
    <w:p w14:paraId="00040EDE" w14:textId="77777777" w:rsidR="00CA2E5A" w:rsidRPr="00BC71D6" w:rsidRDefault="00CA2E5A" w:rsidP="00BC71D6">
      <w:pPr>
        <w:pStyle w:val="Prrafodelista"/>
        <w:numPr>
          <w:ilvl w:val="0"/>
          <w:numId w:val="9"/>
        </w:numPr>
        <w:spacing w:line="288" w:lineRule="auto"/>
        <w:jc w:val="both"/>
        <w:rPr>
          <w:rFonts w:ascii="Arial Narrow" w:hAnsi="Arial Narrow"/>
          <w:sz w:val="24"/>
          <w:szCs w:val="24"/>
          <w:lang w:val="es-ES"/>
        </w:rPr>
      </w:pPr>
      <w:r w:rsidRPr="00BC71D6">
        <w:rPr>
          <w:rFonts w:ascii="Arial Narrow" w:hAnsi="Arial Narrow"/>
          <w:sz w:val="24"/>
          <w:szCs w:val="24"/>
          <w:lang w:val="es-ES"/>
        </w:rPr>
        <w:t xml:space="preserve">En la instalación de las infraestructuras IT, se atienda a la versión más reciente del Código de conducta europeo sobre eficiencia energética de centros de datos, o en el documento CEN-CENELEC CLC TR50600-99-1 "Instalaciones e infraestructuras de centros de datos – Parte 99-1: Prácticas recomendadas para la gestión energética". </w:t>
      </w:r>
    </w:p>
    <w:p w14:paraId="36BB0895" w14:textId="77777777" w:rsidR="00CA2E5A" w:rsidRPr="00F64831" w:rsidRDefault="00CA2E5A" w:rsidP="00CA2E5A">
      <w:pPr>
        <w:pStyle w:val="Prrafodelista"/>
        <w:spacing w:after="0" w:line="288" w:lineRule="auto"/>
        <w:jc w:val="both"/>
        <w:rPr>
          <w:rFonts w:ascii="Arial Narrow" w:hAnsi="Arial Narrow"/>
          <w:sz w:val="24"/>
          <w:szCs w:val="24"/>
          <w:lang w:val="es-ES"/>
        </w:rPr>
      </w:pPr>
    </w:p>
    <w:p w14:paraId="4044FCDE" w14:textId="77777777" w:rsidR="00CA2E5A" w:rsidRPr="00F64831" w:rsidRDefault="00CA2E5A" w:rsidP="00CA2E5A">
      <w:pPr>
        <w:pStyle w:val="Prrafodelista"/>
        <w:numPr>
          <w:ilvl w:val="0"/>
          <w:numId w:val="9"/>
        </w:numPr>
        <w:spacing w:after="0" w:line="288" w:lineRule="auto"/>
        <w:jc w:val="both"/>
        <w:rPr>
          <w:rFonts w:ascii="Arial Narrow" w:hAnsi="Arial Narrow"/>
          <w:sz w:val="24"/>
          <w:szCs w:val="24"/>
          <w:lang w:val="es-ES"/>
        </w:rPr>
      </w:pPr>
      <w:r w:rsidRPr="00F64831">
        <w:rPr>
          <w:rFonts w:ascii="Arial Narrow" w:hAnsi="Arial Narrow"/>
          <w:sz w:val="24"/>
          <w:szCs w:val="24"/>
          <w:lang w:val="es-ES"/>
        </w:rPr>
        <w:lastRenderedPageBreak/>
        <w:t xml:space="preserve">Al final de su vida útil, el equipo se someta a una preparación para operaciones de reutilización, recuperación o reciclaje, o un tratamiento adecuado, incluida la eliminación de todos los fluidos y un tratamiento selectivo de acuerdo con el Anexo VII de la Directiva 2012119/UE del Parlamento Europeo y del Consejo de 4 de julio de 2012 sobre residuos de aparatos eléctricos y electrónicos. </w:t>
      </w:r>
    </w:p>
    <w:p w14:paraId="3D421B4C" w14:textId="77777777" w:rsidR="00CA2E5A" w:rsidRPr="00F64831" w:rsidRDefault="00CA2E5A" w:rsidP="00CA2E5A">
      <w:pPr>
        <w:pStyle w:val="Prrafodelista"/>
        <w:numPr>
          <w:ilvl w:val="0"/>
          <w:numId w:val="9"/>
        </w:numPr>
        <w:spacing w:after="0" w:line="288" w:lineRule="auto"/>
        <w:jc w:val="both"/>
        <w:rPr>
          <w:rFonts w:ascii="Arial Narrow" w:hAnsi="Arial Narrow"/>
          <w:sz w:val="24"/>
          <w:szCs w:val="24"/>
          <w:lang w:val="es-ES"/>
        </w:rPr>
      </w:pPr>
      <w:r w:rsidRPr="00F64831">
        <w:rPr>
          <w:rFonts w:ascii="Arial Narrow" w:hAnsi="Arial Narrow"/>
          <w:sz w:val="24"/>
          <w:szCs w:val="24"/>
          <w:lang w:val="es-ES"/>
        </w:rPr>
        <w:t>Las instalaciones de infraestructuras IT no afecten negativamente a las buenas condiciones y la resiliencia de los ecosistemas ni al estado de conservación de los hábitats y las especies, en particular los espacios de interés de la Unión. Por ello cuando sea preceptivo, se realizará la Evaluación de Impacto medioambiental, de acuerdo con lo establecido en la Directiva 2011/92/EU.</w:t>
      </w:r>
    </w:p>
    <w:p w14:paraId="2C1DFB4B" w14:textId="40A0D001" w:rsidR="00CA2E5A" w:rsidRPr="00395EE5" w:rsidRDefault="00880D05" w:rsidP="00880D05">
      <w:pPr>
        <w:spacing w:before="240" w:line="288" w:lineRule="auto"/>
        <w:jc w:val="both"/>
        <w:rPr>
          <w:rFonts w:ascii="Arial Narrow" w:hAnsi="Arial Narrow"/>
          <w:b/>
          <w:bCs/>
          <w:u w:val="single"/>
        </w:rPr>
      </w:pPr>
      <w:r w:rsidRPr="00395EE5">
        <w:rPr>
          <w:rFonts w:ascii="Arial Narrow" w:hAnsi="Arial Narrow"/>
          <w:b/>
          <w:bCs/>
          <w:u w:val="single"/>
        </w:rPr>
        <w:t>OBRAS</w:t>
      </w:r>
    </w:p>
    <w:p w14:paraId="153E2711" w14:textId="77777777" w:rsidR="00CA2E5A" w:rsidRPr="00060AFD" w:rsidRDefault="00CA2E5A" w:rsidP="00060AFD">
      <w:pPr>
        <w:spacing w:line="288" w:lineRule="auto"/>
        <w:ind w:left="360"/>
        <w:jc w:val="both"/>
        <w:rPr>
          <w:rFonts w:ascii="Arial Narrow" w:hAnsi="Arial Narrow"/>
        </w:rPr>
      </w:pPr>
      <w:r w:rsidRPr="00060AFD">
        <w:rPr>
          <w:rFonts w:ascii="Arial Narrow" w:hAnsi="Arial Narrow"/>
        </w:rPr>
        <w:t xml:space="preserve">En las </w:t>
      </w:r>
      <w:r w:rsidRPr="00060AFD">
        <w:rPr>
          <w:rFonts w:ascii="Arial Narrow" w:hAnsi="Arial Narrow"/>
          <w:b/>
          <w:u w:val="single"/>
        </w:rPr>
        <w:t>actuaciones que contemplen obras</w:t>
      </w:r>
      <w:r w:rsidRPr="00060AFD">
        <w:rPr>
          <w:rFonts w:ascii="Arial Narrow" w:hAnsi="Arial Narrow"/>
        </w:rPr>
        <w:t xml:space="preserve">, el beneficiario garantizará, en función de las características de </w:t>
      </w:r>
      <w:proofErr w:type="gramStart"/>
      <w:r w:rsidRPr="00060AFD">
        <w:rPr>
          <w:rFonts w:ascii="Arial Narrow" w:hAnsi="Arial Narrow"/>
        </w:rPr>
        <w:t>la misma</w:t>
      </w:r>
      <w:proofErr w:type="gramEnd"/>
      <w:r w:rsidRPr="00060AFD">
        <w:rPr>
          <w:rFonts w:ascii="Arial Narrow" w:hAnsi="Arial Narrow"/>
        </w:rPr>
        <w:t>, que no se perjudique a ninguno de los seis objetivos medioambientales definidos en el Reglamento (UE) 2021/241 del Parlamento Europeo y del Consejo de 12 de febrero, y se comprometerá a que:</w:t>
      </w:r>
    </w:p>
    <w:p w14:paraId="60029369" w14:textId="77777777" w:rsidR="00CA2E5A" w:rsidRPr="00F64831" w:rsidRDefault="00CA2E5A" w:rsidP="009D0478">
      <w:pPr>
        <w:pStyle w:val="Prrafodelista"/>
        <w:numPr>
          <w:ilvl w:val="0"/>
          <w:numId w:val="14"/>
        </w:numPr>
        <w:spacing w:after="0" w:line="288" w:lineRule="auto"/>
        <w:ind w:left="360"/>
        <w:jc w:val="both"/>
        <w:rPr>
          <w:rFonts w:ascii="Arial Narrow" w:hAnsi="Arial Narrow"/>
          <w:sz w:val="24"/>
          <w:szCs w:val="24"/>
          <w:lang w:val="es-ES"/>
        </w:rPr>
      </w:pPr>
      <w:r w:rsidRPr="00F64831">
        <w:rPr>
          <w:rFonts w:ascii="Arial Narrow" w:hAnsi="Arial Narrow"/>
          <w:sz w:val="24"/>
          <w:szCs w:val="24"/>
          <w:lang w:val="es-ES"/>
        </w:rPr>
        <w:t xml:space="preserve">Al menos el 70 % (en peso) de los residuos de construcción y demolición generados en los proyectos de infraestructura (con exclusión de los residuos con código LER 17 05 04), se preparen para la reutilización, el reciclaje y la revalorización de otros materiales, incluidas las operaciones de relleno utilizando residuos para sustituir otros materiales de acuerdo con la jerarquía de residuos y el Protocolo de gestión de residuos de construcción y demolición de la UE. </w:t>
      </w:r>
    </w:p>
    <w:p w14:paraId="2C0215E5" w14:textId="77777777" w:rsidR="00CA2E5A" w:rsidRPr="00F64831" w:rsidRDefault="00CA2E5A" w:rsidP="009D0478">
      <w:pPr>
        <w:pStyle w:val="Prrafodelista"/>
        <w:numPr>
          <w:ilvl w:val="0"/>
          <w:numId w:val="13"/>
        </w:numPr>
        <w:spacing w:after="0" w:line="288" w:lineRule="auto"/>
        <w:ind w:left="360"/>
        <w:jc w:val="both"/>
        <w:rPr>
          <w:rFonts w:ascii="Arial Narrow" w:hAnsi="Arial Narrow"/>
          <w:sz w:val="24"/>
          <w:szCs w:val="24"/>
          <w:lang w:val="es-ES"/>
        </w:rPr>
      </w:pPr>
      <w:r w:rsidRPr="00F64831">
        <w:rPr>
          <w:rFonts w:ascii="Arial Narrow" w:hAnsi="Arial Narrow"/>
          <w:sz w:val="24"/>
          <w:szCs w:val="24"/>
          <w:lang w:val="es-ES"/>
        </w:rPr>
        <w:t xml:space="preserve">Los operadores limiten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w:t>
      </w:r>
    </w:p>
    <w:p w14:paraId="3DB90073" w14:textId="77777777" w:rsidR="00CA2E5A" w:rsidRPr="00F64831" w:rsidRDefault="00CA2E5A" w:rsidP="00B63D04">
      <w:pPr>
        <w:pStyle w:val="Prrafodelista"/>
        <w:numPr>
          <w:ilvl w:val="0"/>
          <w:numId w:val="12"/>
        </w:numPr>
        <w:spacing w:after="0" w:line="288" w:lineRule="auto"/>
        <w:ind w:left="360"/>
        <w:jc w:val="both"/>
        <w:rPr>
          <w:rFonts w:ascii="Arial Narrow" w:hAnsi="Arial Narrow"/>
          <w:sz w:val="24"/>
          <w:szCs w:val="24"/>
          <w:lang w:val="es-ES"/>
        </w:rPr>
      </w:pPr>
      <w:r w:rsidRPr="00F64831">
        <w:rPr>
          <w:rFonts w:ascii="Arial Narrow" w:hAnsi="Arial Narrow"/>
          <w:sz w:val="24"/>
          <w:szCs w:val="24"/>
          <w:lang w:val="es-ES"/>
        </w:rPr>
        <w:t xml:space="preserve">Los diseños de los edificios y las técnicas de construcción apoyen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 utilizando los sistemas de clasificación disponibles para residuos de construcción y demolición. </w:t>
      </w:r>
    </w:p>
    <w:p w14:paraId="76C1C7F5" w14:textId="77777777" w:rsidR="00CA2E5A" w:rsidRPr="00F64831" w:rsidRDefault="00CA2E5A" w:rsidP="00B63D04">
      <w:pPr>
        <w:pStyle w:val="Prrafodelista"/>
        <w:numPr>
          <w:ilvl w:val="0"/>
          <w:numId w:val="11"/>
        </w:numPr>
        <w:spacing w:after="0" w:line="288" w:lineRule="auto"/>
        <w:ind w:left="360"/>
        <w:jc w:val="both"/>
        <w:rPr>
          <w:rFonts w:ascii="Arial Narrow" w:hAnsi="Arial Narrow"/>
          <w:sz w:val="24"/>
          <w:szCs w:val="24"/>
          <w:lang w:val="es-ES"/>
        </w:rPr>
      </w:pPr>
      <w:r w:rsidRPr="00F64831">
        <w:rPr>
          <w:rFonts w:ascii="Arial Narrow" w:hAnsi="Arial Narrow"/>
          <w:sz w:val="24"/>
          <w:szCs w:val="24"/>
          <w:lang w:val="es-ES"/>
        </w:rPr>
        <w:t>Los componentes y materiales de construcción utilizados en el desarrollo de las actuaciones previstas en esta medida no contengan amianto ni sustancias muy preocupantes identificadas a partir de la lista de sustancias sujetas a autorización que figura en el anexo XIV del Reglamento (CE) 1907/2006.</w:t>
      </w:r>
    </w:p>
    <w:p w14:paraId="21BDDB44" w14:textId="77777777" w:rsidR="00CA2E5A" w:rsidRPr="00F64831" w:rsidRDefault="00CA2E5A" w:rsidP="00B63D04">
      <w:pPr>
        <w:pStyle w:val="Prrafodelista"/>
        <w:numPr>
          <w:ilvl w:val="0"/>
          <w:numId w:val="10"/>
        </w:numPr>
        <w:spacing w:after="0" w:line="288" w:lineRule="auto"/>
        <w:ind w:left="360"/>
        <w:jc w:val="both"/>
        <w:rPr>
          <w:rFonts w:ascii="Arial Narrow" w:hAnsi="Arial Narrow"/>
          <w:sz w:val="24"/>
          <w:szCs w:val="24"/>
          <w:lang w:val="es-ES"/>
        </w:rPr>
      </w:pPr>
      <w:r w:rsidRPr="00F64831">
        <w:rPr>
          <w:rFonts w:ascii="Arial Narrow" w:hAnsi="Arial Narrow"/>
          <w:sz w:val="24"/>
          <w:szCs w:val="24"/>
          <w:lang w:val="es-ES"/>
        </w:rPr>
        <w:t>Adoptarán medidas para reducir el ruido, el polvo y las emisiones contaminantes durante la fase de obra y se ejecutarán las actuaciones asociadas a esta medida cumpliendo la normativa vigente en cuanto la posible contaminación de suelos y agua.</w:t>
      </w:r>
    </w:p>
    <w:p w14:paraId="0B917EF3" w14:textId="77777777" w:rsidR="00CA2E5A" w:rsidRPr="00F64831" w:rsidRDefault="00CA2E5A" w:rsidP="00CA2E5A">
      <w:pPr>
        <w:spacing w:line="288" w:lineRule="auto"/>
        <w:jc w:val="both"/>
        <w:rPr>
          <w:rFonts w:ascii="Arial Narrow" w:hAnsi="Arial Narrow"/>
        </w:rPr>
      </w:pPr>
    </w:p>
    <w:p w14:paraId="67BFE014" w14:textId="77777777" w:rsidR="00CA2E5A" w:rsidRPr="00F64831" w:rsidRDefault="00CA2E5A" w:rsidP="00CA2E5A">
      <w:pPr>
        <w:spacing w:line="288" w:lineRule="auto"/>
        <w:jc w:val="both"/>
        <w:rPr>
          <w:rFonts w:ascii="Arial Narrow" w:hAnsi="Arial Narrow"/>
        </w:rPr>
      </w:pPr>
    </w:p>
    <w:p w14:paraId="47045B1F" w14:textId="77777777" w:rsidR="00CA2E5A" w:rsidRPr="00F64831" w:rsidRDefault="00CA2E5A" w:rsidP="00CA2E5A">
      <w:pPr>
        <w:spacing w:line="288" w:lineRule="auto"/>
        <w:jc w:val="both"/>
        <w:rPr>
          <w:rFonts w:ascii="Arial Narrow" w:hAnsi="Arial Narrow"/>
        </w:rPr>
      </w:pPr>
    </w:p>
    <w:p w14:paraId="0D2897C5" w14:textId="77777777" w:rsidR="00CA2E5A" w:rsidRPr="00F64831" w:rsidRDefault="00CA2E5A" w:rsidP="00CA2E5A">
      <w:pPr>
        <w:spacing w:line="288" w:lineRule="auto"/>
        <w:jc w:val="both"/>
        <w:rPr>
          <w:rFonts w:ascii="Arial Narrow" w:hAnsi="Arial Narrow"/>
        </w:rPr>
      </w:pPr>
    </w:p>
    <w:p w14:paraId="69531C6F" w14:textId="77777777" w:rsidR="00CA2E5A" w:rsidRPr="00F64831" w:rsidRDefault="00CA2E5A" w:rsidP="00CA2E5A">
      <w:pPr>
        <w:spacing w:line="288" w:lineRule="auto"/>
        <w:jc w:val="both"/>
        <w:rPr>
          <w:rFonts w:ascii="Arial Narrow" w:hAnsi="Arial Narrow"/>
        </w:rPr>
      </w:pPr>
    </w:p>
    <w:p w14:paraId="3476AD2F" w14:textId="77777777" w:rsidR="00CA2E5A" w:rsidRPr="00F64831" w:rsidRDefault="00CA2E5A" w:rsidP="00CA2E5A">
      <w:pPr>
        <w:spacing w:line="288" w:lineRule="auto"/>
        <w:jc w:val="both"/>
        <w:rPr>
          <w:rFonts w:ascii="Arial Narrow" w:hAnsi="Arial Narrow"/>
        </w:rPr>
      </w:pPr>
    </w:p>
    <w:p w14:paraId="47DEBC44" w14:textId="77777777" w:rsidR="00CA2E5A" w:rsidRPr="00F64831" w:rsidRDefault="00CA2E5A" w:rsidP="00CA2E5A">
      <w:pPr>
        <w:spacing w:line="288" w:lineRule="auto"/>
        <w:jc w:val="both"/>
        <w:rPr>
          <w:rFonts w:ascii="Arial Narrow" w:hAnsi="Arial Narrow"/>
        </w:rPr>
      </w:pPr>
    </w:p>
    <w:p w14:paraId="5D4D2F45" w14:textId="77777777" w:rsidR="00AF385C" w:rsidRPr="00F64831" w:rsidRDefault="00AF385C" w:rsidP="001C053D">
      <w:pPr>
        <w:spacing w:line="276" w:lineRule="auto"/>
        <w:jc w:val="both"/>
        <w:rPr>
          <w:rFonts w:ascii="Arial Narrow" w:hAnsi="Arial Narrow"/>
          <w:sz w:val="20"/>
          <w:szCs w:val="20"/>
        </w:rPr>
      </w:pPr>
    </w:p>
    <w:p w14:paraId="24F3EFC9" w14:textId="474271C7" w:rsidR="005E43E0" w:rsidRDefault="00E54C19" w:rsidP="001C053D">
      <w:pPr>
        <w:spacing w:line="276" w:lineRule="auto"/>
        <w:jc w:val="both"/>
        <w:rPr>
          <w:rFonts w:ascii="Arial Narrow" w:hAnsi="Arial Narrow"/>
        </w:rPr>
      </w:pPr>
      <w:r w:rsidRPr="006E62C3">
        <w:rPr>
          <w:rFonts w:ascii="Arial Narrow" w:hAnsi="Arial Narrow"/>
          <w:color w:val="C00000"/>
          <w:sz w:val="20"/>
          <w:szCs w:val="20"/>
        </w:rPr>
        <w:br w:type="page"/>
      </w:r>
    </w:p>
    <w:p w14:paraId="3D42B9E0" w14:textId="77777777" w:rsidR="001F0EDB" w:rsidRDefault="001F0EDB" w:rsidP="001C053D">
      <w:pPr>
        <w:spacing w:line="276" w:lineRule="auto"/>
        <w:rPr>
          <w:rFonts w:ascii="Arial Narrow" w:hAnsi="Arial Narrow"/>
          <w:b/>
        </w:rPr>
      </w:pPr>
    </w:p>
    <w:p w14:paraId="43E1A7A2" w14:textId="77777777" w:rsidR="00350AEC" w:rsidRPr="00381176" w:rsidRDefault="00350AEC" w:rsidP="001C053D">
      <w:pPr>
        <w:spacing w:line="276" w:lineRule="auto"/>
        <w:jc w:val="center"/>
        <w:rPr>
          <w:rFonts w:ascii="Arial Narrow" w:hAnsi="Arial Narrow"/>
          <w:b/>
          <w:sz w:val="20"/>
          <w:szCs w:val="20"/>
        </w:rPr>
      </w:pPr>
      <w:r w:rsidRPr="00381176">
        <w:rPr>
          <w:rFonts w:ascii="Arial Narrow" w:hAnsi="Arial Narrow"/>
          <w:b/>
          <w:sz w:val="20"/>
          <w:szCs w:val="20"/>
        </w:rPr>
        <w:t>PLIEGO DE PRESCRIPCIONES TÉCNICAS</w:t>
      </w:r>
    </w:p>
    <w:p w14:paraId="42E8C2D9" w14:textId="77777777" w:rsidR="00A50D2B" w:rsidRPr="00350AEC" w:rsidRDefault="00A50D2B" w:rsidP="001C053D">
      <w:pPr>
        <w:spacing w:line="276" w:lineRule="auto"/>
        <w:jc w:val="both"/>
        <w:rPr>
          <w:rFonts w:ascii="Arial Narrow" w:hAnsi="Arial Narrow"/>
          <w:sz w:val="20"/>
          <w:szCs w:val="20"/>
        </w:rPr>
      </w:pPr>
    </w:p>
    <w:p w14:paraId="7687E63B" w14:textId="77777777" w:rsidR="00E54C19" w:rsidRDefault="00E54C19" w:rsidP="001C053D">
      <w:pPr>
        <w:spacing w:line="276" w:lineRule="auto"/>
        <w:jc w:val="both"/>
        <w:rPr>
          <w:rFonts w:ascii="Arial Narrow" w:hAnsi="Arial Narrow"/>
          <w:sz w:val="20"/>
          <w:szCs w:val="20"/>
        </w:rPr>
      </w:pPr>
    </w:p>
    <w:p w14:paraId="569858BF" w14:textId="77777777" w:rsidR="005E43E0" w:rsidRDefault="00381176" w:rsidP="001C053D">
      <w:pPr>
        <w:spacing w:line="276" w:lineRule="auto"/>
        <w:jc w:val="both"/>
        <w:rPr>
          <w:rFonts w:ascii="Arial Narrow" w:hAnsi="Arial Narrow"/>
          <w:sz w:val="20"/>
          <w:szCs w:val="20"/>
        </w:rPr>
      </w:pPr>
      <w:r>
        <w:rPr>
          <w:rFonts w:ascii="Arial Narrow" w:hAnsi="Arial Narrow"/>
          <w:sz w:val="20"/>
          <w:szCs w:val="20"/>
        </w:rPr>
        <w:t>Objeto del contrato:</w:t>
      </w:r>
    </w:p>
    <w:p w14:paraId="2D918635" w14:textId="77777777" w:rsidR="00E15A0B" w:rsidRDefault="00E15A0B" w:rsidP="001C053D">
      <w:pPr>
        <w:spacing w:line="276" w:lineRule="auto"/>
        <w:jc w:val="both"/>
        <w:rPr>
          <w:rFonts w:ascii="Arial Narrow" w:hAnsi="Arial Narrow"/>
          <w:sz w:val="20"/>
          <w:szCs w:val="20"/>
        </w:rPr>
      </w:pPr>
    </w:p>
    <w:p w14:paraId="42D66B88" w14:textId="77777777" w:rsidR="00350AEC" w:rsidRDefault="00350AEC" w:rsidP="00350AEC">
      <w:pPr>
        <w:jc w:val="both"/>
        <w:rPr>
          <w:rFonts w:ascii="Arial Narrow" w:hAnsi="Arial Narrow"/>
          <w:sz w:val="20"/>
          <w:szCs w:val="20"/>
        </w:rPr>
      </w:pPr>
    </w:p>
    <w:p w14:paraId="36E816CD" w14:textId="77777777" w:rsidR="00E54C19" w:rsidRDefault="00E54C19" w:rsidP="00350AEC">
      <w:pPr>
        <w:jc w:val="both"/>
        <w:rPr>
          <w:rFonts w:ascii="Arial Narrow" w:hAnsi="Arial Narrow"/>
          <w:sz w:val="20"/>
          <w:szCs w:val="20"/>
        </w:rPr>
      </w:pPr>
    </w:p>
    <w:p w14:paraId="00BF7A83" w14:textId="77777777" w:rsidR="001F0EDB" w:rsidRDefault="001F0EDB">
      <w:pPr>
        <w:rPr>
          <w:rFonts w:ascii="Arial Narrow" w:hAnsi="Arial Narrow"/>
          <w:sz w:val="20"/>
          <w:szCs w:val="20"/>
        </w:rPr>
      </w:pPr>
    </w:p>
    <w:p w14:paraId="4CCBA45E" w14:textId="77777777" w:rsidR="00381176" w:rsidRDefault="00381176" w:rsidP="00381176">
      <w:pPr>
        <w:jc w:val="center"/>
        <w:rPr>
          <w:rFonts w:ascii="Arial Narrow" w:hAnsi="Arial Narrow"/>
          <w:sz w:val="20"/>
          <w:szCs w:val="20"/>
        </w:rPr>
      </w:pPr>
      <w:r>
        <w:rPr>
          <w:rFonts w:ascii="Arial Narrow" w:hAnsi="Arial Narrow"/>
          <w:sz w:val="20"/>
          <w:szCs w:val="20"/>
        </w:rPr>
        <w:t>ESPECIFICACIONES TÉCNICAS</w:t>
      </w:r>
    </w:p>
    <w:p w14:paraId="3B6D8D81" w14:textId="77777777" w:rsidR="00381176" w:rsidRPr="00350AEC" w:rsidRDefault="00381176" w:rsidP="00381176">
      <w:pPr>
        <w:jc w:val="both"/>
        <w:rPr>
          <w:rFonts w:ascii="Arial Narrow" w:hAnsi="Arial Narrow"/>
          <w:sz w:val="20"/>
          <w:szCs w:val="20"/>
        </w:rPr>
      </w:pPr>
    </w:p>
    <w:p w14:paraId="74DA6D9E" w14:textId="77777777" w:rsidR="00350AEC" w:rsidRDefault="00350AEC">
      <w:pPr>
        <w:rPr>
          <w:rFonts w:ascii="Arial Narrow" w:hAnsi="Arial Narrow"/>
          <w:sz w:val="20"/>
          <w:szCs w:val="20"/>
        </w:rPr>
      </w:pPr>
    </w:p>
    <w:p w14:paraId="7AAC4BD8" w14:textId="77777777" w:rsidR="00850A7F" w:rsidRDefault="00850A7F">
      <w:pPr>
        <w:rPr>
          <w:rFonts w:ascii="Arial Narrow" w:hAnsi="Arial Narrow"/>
          <w:sz w:val="20"/>
          <w:szCs w:val="20"/>
        </w:rPr>
      </w:pPr>
    </w:p>
    <w:p w14:paraId="3EE68AA4" w14:textId="77777777" w:rsidR="00850A7F" w:rsidRDefault="00850A7F">
      <w:pPr>
        <w:rPr>
          <w:rFonts w:ascii="Arial Narrow" w:hAnsi="Arial Narrow"/>
          <w:sz w:val="20"/>
          <w:szCs w:val="20"/>
        </w:rPr>
      </w:pPr>
    </w:p>
    <w:p w14:paraId="2D618215" w14:textId="77777777" w:rsidR="00850A7F" w:rsidRDefault="00850A7F">
      <w:pPr>
        <w:rPr>
          <w:rFonts w:ascii="Arial Narrow" w:hAnsi="Arial Narrow"/>
          <w:sz w:val="20"/>
          <w:szCs w:val="20"/>
        </w:rPr>
      </w:pPr>
    </w:p>
    <w:p w14:paraId="10C82491" w14:textId="77777777" w:rsidR="00850A7F" w:rsidRDefault="00850A7F">
      <w:pPr>
        <w:rPr>
          <w:rFonts w:ascii="Arial Narrow" w:hAnsi="Arial Narrow"/>
          <w:sz w:val="20"/>
          <w:szCs w:val="20"/>
        </w:rPr>
      </w:pPr>
    </w:p>
    <w:p w14:paraId="692F8658" w14:textId="77777777" w:rsidR="00850A7F" w:rsidRDefault="00850A7F">
      <w:pPr>
        <w:rPr>
          <w:rFonts w:ascii="Arial Narrow" w:hAnsi="Arial Narrow"/>
          <w:sz w:val="20"/>
          <w:szCs w:val="20"/>
        </w:rPr>
      </w:pPr>
    </w:p>
    <w:p w14:paraId="5F41DC99" w14:textId="77777777" w:rsidR="00850A7F" w:rsidRDefault="00850A7F">
      <w:pPr>
        <w:rPr>
          <w:rFonts w:ascii="Arial Narrow" w:hAnsi="Arial Narrow"/>
          <w:sz w:val="20"/>
          <w:szCs w:val="20"/>
        </w:rPr>
      </w:pPr>
    </w:p>
    <w:p w14:paraId="7CB8B25E" w14:textId="77777777" w:rsidR="00850A7F" w:rsidRDefault="00850A7F">
      <w:pPr>
        <w:rPr>
          <w:rFonts w:ascii="Arial Narrow" w:hAnsi="Arial Narrow"/>
          <w:sz w:val="20"/>
          <w:szCs w:val="20"/>
        </w:rPr>
      </w:pPr>
    </w:p>
    <w:p w14:paraId="549FC9B7" w14:textId="77777777" w:rsidR="00850A7F" w:rsidRDefault="00850A7F">
      <w:pPr>
        <w:rPr>
          <w:rFonts w:ascii="Arial Narrow" w:hAnsi="Arial Narrow"/>
          <w:sz w:val="20"/>
          <w:szCs w:val="20"/>
        </w:rPr>
      </w:pPr>
    </w:p>
    <w:p w14:paraId="110A5E34" w14:textId="77777777" w:rsidR="00850A7F" w:rsidRDefault="00850A7F">
      <w:pPr>
        <w:rPr>
          <w:rFonts w:ascii="Arial Narrow" w:hAnsi="Arial Narrow"/>
          <w:sz w:val="20"/>
          <w:szCs w:val="20"/>
        </w:rPr>
      </w:pPr>
      <w:r>
        <w:rPr>
          <w:rFonts w:ascii="Arial Narrow" w:hAnsi="Arial Narrow"/>
          <w:sz w:val="20"/>
          <w:szCs w:val="20"/>
        </w:rPr>
        <w:t xml:space="preserve">Fecha, </w:t>
      </w:r>
    </w:p>
    <w:p w14:paraId="55CCB9DF" w14:textId="77777777" w:rsidR="00850A7F" w:rsidRDefault="00850A7F">
      <w:pPr>
        <w:rPr>
          <w:rFonts w:ascii="Arial Narrow" w:hAnsi="Arial Narrow"/>
          <w:sz w:val="20"/>
          <w:szCs w:val="20"/>
        </w:rPr>
      </w:pPr>
      <w:r>
        <w:rPr>
          <w:rFonts w:ascii="Arial Narrow" w:hAnsi="Arial Narrow"/>
          <w:sz w:val="20"/>
          <w:szCs w:val="20"/>
        </w:rPr>
        <w:t xml:space="preserve">Cargo </w:t>
      </w:r>
    </w:p>
    <w:p w14:paraId="2A0376B5" w14:textId="77777777" w:rsidR="00850A7F" w:rsidRDefault="00850A7F">
      <w:pPr>
        <w:rPr>
          <w:rFonts w:ascii="Arial Narrow" w:hAnsi="Arial Narrow"/>
          <w:sz w:val="20"/>
          <w:szCs w:val="20"/>
        </w:rPr>
      </w:pPr>
      <w:r>
        <w:rPr>
          <w:rFonts w:ascii="Arial Narrow" w:hAnsi="Arial Narrow"/>
          <w:sz w:val="20"/>
          <w:szCs w:val="20"/>
        </w:rPr>
        <w:t>Firma</w:t>
      </w:r>
    </w:p>
    <w:p w14:paraId="61EDB74C" w14:textId="77777777" w:rsidR="00850A7F" w:rsidRPr="00350AEC" w:rsidRDefault="00850A7F">
      <w:pPr>
        <w:rPr>
          <w:rFonts w:ascii="Arial Narrow" w:hAnsi="Arial Narrow"/>
          <w:sz w:val="20"/>
          <w:szCs w:val="20"/>
        </w:rPr>
      </w:pPr>
      <w:r>
        <w:rPr>
          <w:rFonts w:ascii="Arial Narrow" w:hAnsi="Arial Narrow"/>
          <w:sz w:val="20"/>
          <w:szCs w:val="20"/>
        </w:rPr>
        <w:t>Nombre del firmante.</w:t>
      </w:r>
    </w:p>
    <w:sectPr w:rsidR="00850A7F" w:rsidRPr="00350AEC" w:rsidSect="001C053D">
      <w:headerReference w:type="default" r:id="rId10"/>
      <w:headerReference w:type="first" r:id="rId11"/>
      <w:pgSz w:w="11906" w:h="16838"/>
      <w:pgMar w:top="567" w:right="991" w:bottom="102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13C6" w14:textId="77777777" w:rsidR="0013162E" w:rsidRDefault="0013162E" w:rsidP="00F62C18">
      <w:r>
        <w:separator/>
      </w:r>
    </w:p>
  </w:endnote>
  <w:endnote w:type="continuationSeparator" w:id="0">
    <w:p w14:paraId="01F5EFA0" w14:textId="77777777" w:rsidR="0013162E" w:rsidRDefault="0013162E" w:rsidP="00F6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383E" w14:textId="77777777" w:rsidR="0013162E" w:rsidRDefault="0013162E" w:rsidP="00F62C18">
      <w:r>
        <w:separator/>
      </w:r>
    </w:p>
  </w:footnote>
  <w:footnote w:type="continuationSeparator" w:id="0">
    <w:p w14:paraId="3691F4C6" w14:textId="77777777" w:rsidR="0013162E" w:rsidRDefault="0013162E" w:rsidP="00F6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521E" w14:textId="732E46A9" w:rsidR="005A15D6" w:rsidRDefault="005A15D6" w:rsidP="005A15D6">
    <w:r>
      <w:object w:dxaOrig="1461" w:dyaOrig="1361" w14:anchorId="71A7D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6pt;height:64.35pt" fillcolor="window">
          <v:imagedata r:id="rId1" o:title=""/>
        </v:shape>
        <o:OLEObject Type="Embed" ProgID="Word.Picture.8" ShapeID="_x0000_i1025" DrawAspect="Content" ObjectID="_1710929654" r:id="rId2"/>
      </w:object>
    </w:r>
    <w:r>
      <w:rPr>
        <w:noProof/>
      </w:rPr>
      <w:tab/>
    </w:r>
    <w:r>
      <w:rPr>
        <w:noProof/>
      </w:rPr>
      <w:tab/>
    </w:r>
    <w:r>
      <w:rPr>
        <w:noProof/>
      </w:rPr>
      <w:tab/>
    </w:r>
    <w:r>
      <w:rPr>
        <w:noProof/>
      </w:rPr>
      <w:tab/>
    </w:r>
    <w:r>
      <w:rPr>
        <w:noProof/>
      </w:rPr>
      <w:tab/>
    </w:r>
    <w:r>
      <w:rPr>
        <w:noProof/>
      </w:rPr>
      <w:tab/>
    </w:r>
  </w:p>
  <w:p w14:paraId="1504B5E5" w14:textId="63AEF075" w:rsidR="009522A2" w:rsidRDefault="005A15D6" w:rsidP="005A15D6">
    <w:r>
      <w:rPr>
        <w:noProof/>
      </w:rPr>
      <w:drawing>
        <wp:anchor distT="0" distB="0" distL="114300" distR="114300" simplePos="0" relativeHeight="251662336" behindDoc="1" locked="0" layoutInCell="1" allowOverlap="1" wp14:anchorId="121898D5" wp14:editId="54ABEAEF">
          <wp:simplePos x="0" y="0"/>
          <wp:positionH relativeFrom="margin">
            <wp:posOffset>199417</wp:posOffset>
          </wp:positionH>
          <wp:positionV relativeFrom="paragraph">
            <wp:posOffset>1338</wp:posOffset>
          </wp:positionV>
          <wp:extent cx="5756275" cy="525145"/>
          <wp:effectExtent l="0" t="0" r="0" b="8255"/>
          <wp:wrapTight wrapText="bothSides">
            <wp:wrapPolygon edited="0">
              <wp:start x="0" y="0"/>
              <wp:lineTo x="0" y="21156"/>
              <wp:lineTo x="21517" y="21156"/>
              <wp:lineTo x="21517" y="0"/>
              <wp:lineTo x="0" y="0"/>
            </wp:wrapPolygon>
          </wp:wrapTight>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627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9BEF" w14:textId="7CBF2797" w:rsidR="004B1163" w:rsidRDefault="004B1163" w:rsidP="004B1163">
    <w:r>
      <w:rPr>
        <w:noProof/>
      </w:rPr>
      <w:drawing>
        <wp:anchor distT="0" distB="0" distL="114300" distR="114300" simplePos="0" relativeHeight="251660288" behindDoc="1" locked="0" layoutInCell="1" allowOverlap="1" wp14:anchorId="4A023614" wp14:editId="51E173E2">
          <wp:simplePos x="0" y="0"/>
          <wp:positionH relativeFrom="margin">
            <wp:posOffset>3832698</wp:posOffset>
          </wp:positionH>
          <wp:positionV relativeFrom="margin">
            <wp:posOffset>-1231981</wp:posOffset>
          </wp:positionV>
          <wp:extent cx="2066400" cy="576000"/>
          <wp:effectExtent l="0" t="0" r="0" b="0"/>
          <wp:wrapSquare wrapText="bothSides"/>
          <wp:docPr id="40" name="Imagen 4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r="24936"/>
                  <a:stretch>
                    <a:fillRect/>
                  </a:stretch>
                </pic:blipFill>
                <pic:spPr bwMode="auto">
                  <a:xfrm>
                    <a:off x="0" y="0"/>
                    <a:ext cx="20664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MON_1394879259"/>
    <w:bookmarkEnd w:id="0"/>
    <w:r>
      <w:object w:dxaOrig="1461" w:dyaOrig="1361" w14:anchorId="46E9E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6pt;height:64.35pt" fillcolor="window">
          <v:imagedata r:id="rId2" o:title=""/>
        </v:shape>
        <o:OLEObject Type="Embed" ProgID="Word.Picture.8" ShapeID="_x0000_i1026" DrawAspect="Content" ObjectID="_1710929655" r:id="rId3"/>
      </w:object>
    </w:r>
    <w:r>
      <w:rPr>
        <w:noProof/>
      </w:rPr>
      <w:tab/>
    </w:r>
    <w:r>
      <w:rPr>
        <w:noProof/>
      </w:rPr>
      <w:tab/>
    </w:r>
    <w:r>
      <w:rPr>
        <w:noProof/>
      </w:rPr>
      <w:tab/>
    </w:r>
    <w:r>
      <w:rPr>
        <w:noProof/>
      </w:rPr>
      <w:tab/>
    </w:r>
    <w:r>
      <w:rPr>
        <w:noProof/>
      </w:rPr>
      <w:drawing>
        <wp:inline distT="0" distB="0" distL="0" distR="0" wp14:anchorId="51277E0A" wp14:editId="731B36C6">
          <wp:extent cx="628015" cy="499745"/>
          <wp:effectExtent l="0" t="0" r="635" b="0"/>
          <wp:docPr id="41" name="Imagen 4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015" cy="499745"/>
                  </a:xfrm>
                  <a:prstGeom prst="rect">
                    <a:avLst/>
                  </a:prstGeom>
                  <a:noFill/>
                </pic:spPr>
              </pic:pic>
            </a:graphicData>
          </a:graphic>
        </wp:inline>
      </w:drawing>
    </w:r>
    <w:r>
      <w:rPr>
        <w:noProof/>
      </w:rPr>
      <w:tab/>
    </w:r>
    <w:r>
      <w:rPr>
        <w:noProof/>
      </w:rPr>
      <w:tab/>
    </w:r>
  </w:p>
  <w:p w14:paraId="4866CD4E" w14:textId="77777777" w:rsidR="004B1163" w:rsidRPr="009A0626" w:rsidRDefault="004B1163" w:rsidP="004B1163">
    <w:r>
      <w:rPr>
        <w:noProof/>
      </w:rPr>
      <w:drawing>
        <wp:anchor distT="0" distB="0" distL="114300" distR="114300" simplePos="0" relativeHeight="251659264" behindDoc="1" locked="0" layoutInCell="1" allowOverlap="1" wp14:anchorId="76112E68" wp14:editId="0C2E3BF4">
          <wp:simplePos x="0" y="0"/>
          <wp:positionH relativeFrom="margin">
            <wp:posOffset>199417</wp:posOffset>
          </wp:positionH>
          <wp:positionV relativeFrom="paragraph">
            <wp:posOffset>1338</wp:posOffset>
          </wp:positionV>
          <wp:extent cx="5756275" cy="525145"/>
          <wp:effectExtent l="0" t="0" r="0" b="8255"/>
          <wp:wrapTight wrapText="bothSides">
            <wp:wrapPolygon edited="0">
              <wp:start x="0" y="0"/>
              <wp:lineTo x="0" y="21156"/>
              <wp:lineTo x="21517" y="21156"/>
              <wp:lineTo x="21517" y="0"/>
              <wp:lineTo x="0" y="0"/>
            </wp:wrapPolygon>
          </wp:wrapTight>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27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3314"/>
    <w:multiLevelType w:val="hybridMultilevel"/>
    <w:tmpl w:val="A08A5EC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08E1AF9"/>
    <w:multiLevelType w:val="hybridMultilevel"/>
    <w:tmpl w:val="7E0C32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DD738D"/>
    <w:multiLevelType w:val="hybridMultilevel"/>
    <w:tmpl w:val="FFFFFFFF"/>
    <w:lvl w:ilvl="0" w:tplc="73DE6BD8">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792DD4"/>
    <w:multiLevelType w:val="hybridMultilevel"/>
    <w:tmpl w:val="FFFFFFFF"/>
    <w:lvl w:ilvl="0" w:tplc="FBF8128A">
      <w:start w:val="4"/>
      <w:numFmt w:val="bullet"/>
      <w:lvlText w:val="-"/>
      <w:lvlJc w:val="left"/>
      <w:pPr>
        <w:ind w:left="1080" w:hanging="360"/>
      </w:pPr>
      <w:rPr>
        <w:rFonts w:ascii="Arial Narrow" w:eastAsia="Times New Roman" w:hAnsi="Arial Narrow"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 w15:restartNumberingAfterBreak="0">
    <w:nsid w:val="35A83C7A"/>
    <w:multiLevelType w:val="hybridMultilevel"/>
    <w:tmpl w:val="A71691F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3743352A"/>
    <w:multiLevelType w:val="hybridMultilevel"/>
    <w:tmpl w:val="FFFFFFFF"/>
    <w:lvl w:ilvl="0" w:tplc="10CCDCE4">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35717C"/>
    <w:multiLevelType w:val="hybridMultilevel"/>
    <w:tmpl w:val="F3DE3C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5424B01"/>
    <w:multiLevelType w:val="hybridMultilevel"/>
    <w:tmpl w:val="761A227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BFD5119"/>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5EA10232"/>
    <w:multiLevelType w:val="hybridMultilevel"/>
    <w:tmpl w:val="B816CEA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5ED1550B"/>
    <w:multiLevelType w:val="hybridMultilevel"/>
    <w:tmpl w:val="FFFFFFFF"/>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1" w15:restartNumberingAfterBreak="0">
    <w:nsid w:val="5F396731"/>
    <w:multiLevelType w:val="hybridMultilevel"/>
    <w:tmpl w:val="164CC70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EBF7474"/>
    <w:multiLevelType w:val="hybridMultilevel"/>
    <w:tmpl w:val="FFFFFFFF"/>
    <w:lvl w:ilvl="0" w:tplc="FBF8128A">
      <w:start w:val="4"/>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375D87"/>
    <w:multiLevelType w:val="hybridMultilevel"/>
    <w:tmpl w:val="8F22B2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137361">
    <w:abstractNumId w:val="2"/>
  </w:num>
  <w:num w:numId="2" w16cid:durableId="1555383292">
    <w:abstractNumId w:val="5"/>
  </w:num>
  <w:num w:numId="3" w16cid:durableId="1278565993">
    <w:abstractNumId w:val="8"/>
  </w:num>
  <w:num w:numId="4" w16cid:durableId="430929381">
    <w:abstractNumId w:val="12"/>
  </w:num>
  <w:num w:numId="5" w16cid:durableId="812717674">
    <w:abstractNumId w:val="10"/>
  </w:num>
  <w:num w:numId="6" w16cid:durableId="676614140">
    <w:abstractNumId w:val="3"/>
  </w:num>
  <w:num w:numId="7" w16cid:durableId="1820220115">
    <w:abstractNumId w:val="1"/>
  </w:num>
  <w:num w:numId="8" w16cid:durableId="1916622645">
    <w:abstractNumId w:val="11"/>
  </w:num>
  <w:num w:numId="9" w16cid:durableId="1386175460">
    <w:abstractNumId w:val="7"/>
  </w:num>
  <w:num w:numId="10" w16cid:durableId="105348658">
    <w:abstractNumId w:val="0"/>
  </w:num>
  <w:num w:numId="11" w16cid:durableId="106657012">
    <w:abstractNumId w:val="9"/>
  </w:num>
  <w:num w:numId="12" w16cid:durableId="230039720">
    <w:abstractNumId w:val="4"/>
  </w:num>
  <w:num w:numId="13" w16cid:durableId="1951356508">
    <w:abstractNumId w:val="6"/>
  </w:num>
  <w:num w:numId="14" w16cid:durableId="1521508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C9"/>
    <w:rsid w:val="0001592E"/>
    <w:rsid w:val="00021520"/>
    <w:rsid w:val="000520D5"/>
    <w:rsid w:val="00060AFD"/>
    <w:rsid w:val="000639E4"/>
    <w:rsid w:val="00084A51"/>
    <w:rsid w:val="000B3277"/>
    <w:rsid w:val="0013162E"/>
    <w:rsid w:val="001431DC"/>
    <w:rsid w:val="00167E39"/>
    <w:rsid w:val="0018313C"/>
    <w:rsid w:val="001C053D"/>
    <w:rsid w:val="001E1488"/>
    <w:rsid w:val="001F0EDB"/>
    <w:rsid w:val="002351CD"/>
    <w:rsid w:val="0024260F"/>
    <w:rsid w:val="002B3488"/>
    <w:rsid w:val="002D2CAF"/>
    <w:rsid w:val="002E07F0"/>
    <w:rsid w:val="00340CD1"/>
    <w:rsid w:val="00350AEC"/>
    <w:rsid w:val="0037602E"/>
    <w:rsid w:val="00381176"/>
    <w:rsid w:val="00381353"/>
    <w:rsid w:val="00395EE5"/>
    <w:rsid w:val="003B7E2B"/>
    <w:rsid w:val="003F27BA"/>
    <w:rsid w:val="00400797"/>
    <w:rsid w:val="00420D54"/>
    <w:rsid w:val="004231FA"/>
    <w:rsid w:val="004632D6"/>
    <w:rsid w:val="004B1163"/>
    <w:rsid w:val="004C3B30"/>
    <w:rsid w:val="004F2392"/>
    <w:rsid w:val="00535F19"/>
    <w:rsid w:val="00573FB3"/>
    <w:rsid w:val="00575943"/>
    <w:rsid w:val="0058345F"/>
    <w:rsid w:val="00597989"/>
    <w:rsid w:val="005A0A7B"/>
    <w:rsid w:val="005A15D6"/>
    <w:rsid w:val="005A3239"/>
    <w:rsid w:val="005B62B6"/>
    <w:rsid w:val="005E43E0"/>
    <w:rsid w:val="006012A3"/>
    <w:rsid w:val="00606A5B"/>
    <w:rsid w:val="006355BF"/>
    <w:rsid w:val="00641D31"/>
    <w:rsid w:val="00643865"/>
    <w:rsid w:val="00677E21"/>
    <w:rsid w:val="006A0B4C"/>
    <w:rsid w:val="006E165E"/>
    <w:rsid w:val="006E62C3"/>
    <w:rsid w:val="007131BB"/>
    <w:rsid w:val="00713E88"/>
    <w:rsid w:val="007142CD"/>
    <w:rsid w:val="00730A52"/>
    <w:rsid w:val="007441B1"/>
    <w:rsid w:val="00750327"/>
    <w:rsid w:val="00754571"/>
    <w:rsid w:val="007745A4"/>
    <w:rsid w:val="007D6C32"/>
    <w:rsid w:val="007F0EC9"/>
    <w:rsid w:val="00850A7F"/>
    <w:rsid w:val="00863B7A"/>
    <w:rsid w:val="00864BD8"/>
    <w:rsid w:val="00880D05"/>
    <w:rsid w:val="008A3C6B"/>
    <w:rsid w:val="008D2755"/>
    <w:rsid w:val="008D75F8"/>
    <w:rsid w:val="009345A7"/>
    <w:rsid w:val="00937B9D"/>
    <w:rsid w:val="00941F49"/>
    <w:rsid w:val="009522A2"/>
    <w:rsid w:val="00977F17"/>
    <w:rsid w:val="009B7EC2"/>
    <w:rsid w:val="009C042C"/>
    <w:rsid w:val="009D0478"/>
    <w:rsid w:val="009F66B6"/>
    <w:rsid w:val="00A17AE7"/>
    <w:rsid w:val="00A316C2"/>
    <w:rsid w:val="00A36FDF"/>
    <w:rsid w:val="00A50D2B"/>
    <w:rsid w:val="00AA24B9"/>
    <w:rsid w:val="00AA4469"/>
    <w:rsid w:val="00AF385C"/>
    <w:rsid w:val="00B17544"/>
    <w:rsid w:val="00B30097"/>
    <w:rsid w:val="00B41499"/>
    <w:rsid w:val="00B63D04"/>
    <w:rsid w:val="00B72F82"/>
    <w:rsid w:val="00B73A3C"/>
    <w:rsid w:val="00BA3CFF"/>
    <w:rsid w:val="00BC71D6"/>
    <w:rsid w:val="00C0344C"/>
    <w:rsid w:val="00CA2E5A"/>
    <w:rsid w:val="00CB6E42"/>
    <w:rsid w:val="00CB7174"/>
    <w:rsid w:val="00CD0F61"/>
    <w:rsid w:val="00CD6B0D"/>
    <w:rsid w:val="00CE3218"/>
    <w:rsid w:val="00D2681E"/>
    <w:rsid w:val="00D51B69"/>
    <w:rsid w:val="00D6165D"/>
    <w:rsid w:val="00D646E5"/>
    <w:rsid w:val="00D657AC"/>
    <w:rsid w:val="00E04729"/>
    <w:rsid w:val="00E15A0B"/>
    <w:rsid w:val="00E31342"/>
    <w:rsid w:val="00E37BE3"/>
    <w:rsid w:val="00E47293"/>
    <w:rsid w:val="00E54C19"/>
    <w:rsid w:val="00E843AE"/>
    <w:rsid w:val="00EA74B1"/>
    <w:rsid w:val="00EC5D6B"/>
    <w:rsid w:val="00F275A6"/>
    <w:rsid w:val="00F62C18"/>
    <w:rsid w:val="00F64831"/>
    <w:rsid w:val="00F8309A"/>
    <w:rsid w:val="00F953E5"/>
    <w:rsid w:val="00FD33F6"/>
    <w:rsid w:val="00FE5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20BA4F0"/>
  <w14:defaultImageDpi w14:val="0"/>
  <w15:docId w15:val="{CCE63113-99AB-4EAB-AD0E-B5F3AAF5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qFormat/>
    <w:rsid w:val="005E43E0"/>
    <w:rPr>
      <w:rFonts w:ascii="Arial Narrow" w:hAnsi="Arial Narrow" w:cs="Arial"/>
      <w:b/>
      <w:bCs/>
      <w:color w:val="464646"/>
      <w:sz w:val="20"/>
    </w:rPr>
  </w:style>
  <w:style w:type="paragraph" w:styleId="Textodeglobo">
    <w:name w:val="Balloon Text"/>
    <w:basedOn w:val="Normal"/>
    <w:link w:val="TextodegloboCar"/>
    <w:uiPriority w:val="99"/>
    <w:semiHidden/>
    <w:unhideWhenUsed/>
    <w:rsid w:val="007441B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441B1"/>
    <w:rPr>
      <w:rFonts w:ascii="Tahoma" w:hAnsi="Tahoma" w:cs="Tahoma"/>
      <w:sz w:val="16"/>
      <w:szCs w:val="16"/>
    </w:rPr>
  </w:style>
  <w:style w:type="paragraph" w:styleId="Encabezado">
    <w:name w:val="header"/>
    <w:basedOn w:val="Normal"/>
    <w:link w:val="EncabezadoCar"/>
    <w:uiPriority w:val="99"/>
    <w:unhideWhenUsed/>
    <w:rsid w:val="00F62C18"/>
    <w:pPr>
      <w:tabs>
        <w:tab w:val="center" w:pos="4252"/>
        <w:tab w:val="right" w:pos="8504"/>
      </w:tabs>
    </w:pPr>
  </w:style>
  <w:style w:type="character" w:customStyle="1" w:styleId="EncabezadoCar">
    <w:name w:val="Encabezado Car"/>
    <w:basedOn w:val="Fuentedeprrafopredeter"/>
    <w:link w:val="Encabezado"/>
    <w:uiPriority w:val="99"/>
    <w:locked/>
    <w:rsid w:val="00F62C18"/>
    <w:rPr>
      <w:rFonts w:cs="Times New Roman"/>
      <w:sz w:val="24"/>
      <w:szCs w:val="24"/>
    </w:rPr>
  </w:style>
  <w:style w:type="paragraph" w:styleId="Piedepgina">
    <w:name w:val="footer"/>
    <w:basedOn w:val="Normal"/>
    <w:link w:val="PiedepginaCar"/>
    <w:uiPriority w:val="99"/>
    <w:unhideWhenUsed/>
    <w:rsid w:val="00F62C18"/>
    <w:pPr>
      <w:tabs>
        <w:tab w:val="center" w:pos="4252"/>
        <w:tab w:val="right" w:pos="8504"/>
      </w:tabs>
    </w:pPr>
  </w:style>
  <w:style w:type="character" w:customStyle="1" w:styleId="PiedepginaCar">
    <w:name w:val="Pie de página Car"/>
    <w:basedOn w:val="Fuentedeprrafopredeter"/>
    <w:link w:val="Piedepgina"/>
    <w:uiPriority w:val="99"/>
    <w:locked/>
    <w:rsid w:val="00F62C18"/>
    <w:rPr>
      <w:rFonts w:cs="Times New Roman"/>
      <w:sz w:val="24"/>
      <w:szCs w:val="24"/>
    </w:rPr>
  </w:style>
  <w:style w:type="paragraph" w:styleId="NormalWeb">
    <w:name w:val="Normal (Web)"/>
    <w:basedOn w:val="Normal"/>
    <w:uiPriority w:val="99"/>
    <w:semiHidden/>
    <w:unhideWhenUsed/>
    <w:rsid w:val="00F275A6"/>
    <w:pPr>
      <w:spacing w:before="100" w:beforeAutospacing="1" w:after="100" w:afterAutospacing="1"/>
    </w:pPr>
  </w:style>
  <w:style w:type="character" w:styleId="Hipervnculo">
    <w:name w:val="Hyperlink"/>
    <w:basedOn w:val="Fuentedeprrafopredeter"/>
    <w:uiPriority w:val="99"/>
    <w:unhideWhenUsed/>
    <w:rsid w:val="00F275A6"/>
    <w:rPr>
      <w:rFonts w:cs="Times New Roman"/>
      <w:color w:val="0000FF"/>
      <w:u w:val="single"/>
    </w:rPr>
  </w:style>
  <w:style w:type="character" w:styleId="Hipervnculovisitado">
    <w:name w:val="FollowedHyperlink"/>
    <w:basedOn w:val="Fuentedeprrafopredeter"/>
    <w:uiPriority w:val="99"/>
    <w:semiHidden/>
    <w:unhideWhenUsed/>
    <w:rsid w:val="00A36FDF"/>
    <w:rPr>
      <w:rFonts w:cs="Times New Roman"/>
      <w:color w:val="800080" w:themeColor="followedHyperlink"/>
      <w:u w:val="single"/>
    </w:rPr>
  </w:style>
  <w:style w:type="paragraph" w:styleId="Prrafodelista">
    <w:name w:val="List Paragraph"/>
    <w:basedOn w:val="Normal"/>
    <w:uiPriority w:val="34"/>
    <w:qFormat/>
    <w:rsid w:val="00A17AE7"/>
    <w:pPr>
      <w:spacing w:after="160" w:line="259"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852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EABD490A3E0A4696CE670859502FEA" ma:contentTypeVersion="17" ma:contentTypeDescription="Crear nuevo documento." ma:contentTypeScope="" ma:versionID="0c2c325b4b818f43af301d9689af66ad">
  <xsd:schema xmlns:xsd="http://www.w3.org/2001/XMLSchema" xmlns:xs="http://www.w3.org/2001/XMLSchema" xmlns:p="http://schemas.microsoft.com/office/2006/metadata/properties" xmlns:ns2="81b06993-2ae7-4910-982b-ad701689eaaa" xmlns:ns3="244dab0d-c124-4a87-af76-d0d162935fcc" targetNamespace="http://schemas.microsoft.com/office/2006/metadata/properties" ma:root="true" ma:fieldsID="9ce59c0dd931059e5525ee17a949637f" ns2:_="" ns3:_="">
    <xsd:import namespace="81b06993-2ae7-4910-982b-ad701689eaaa"/>
    <xsd:import namespace="244dab0d-c124-4a87-af76-d0d162935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06993-2ae7-4910-982b-ad701689e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dab0d-c124-4a87-af76-d0d162935fc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04b7d942-b850-4b07-850c-c3e4947d12f2}" ma:internalName="TaxCatchAll" ma:showField="CatchAllData" ma:web="244dab0d-c124-4a87-af76-d0d16293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4dab0d-c124-4a87-af76-d0d162935fcc" xsi:nil="true"/>
    <lcf76f155ced4ddcb4097134ff3c332f xmlns="81b06993-2ae7-4910-982b-ad701689ea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D25CF-B9F0-419E-9B1F-E82926AB6C7A}"/>
</file>

<file path=customXml/itemProps2.xml><?xml version="1.0" encoding="utf-8"?>
<ds:datastoreItem xmlns:ds="http://schemas.openxmlformats.org/officeDocument/2006/customXml" ds:itemID="{C0E69091-61BF-4708-9098-F4F16F69C5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D77379-0C58-4A6F-B824-7F2DE859E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1432</Words>
  <Characters>7870</Characters>
  <Application>Microsoft Office Word</Application>
  <DocSecurity>0</DocSecurity>
  <Lines>65</Lines>
  <Paragraphs>18</Paragraphs>
  <ScaleCrop>false</ScaleCrop>
  <Company>Universidad de Sevilla</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EXPEDIENTE DE CONTRATACIÓN</dc:title>
  <dc:subject/>
  <dc:creator>Servicio de Contratación y Patrimonio</dc:creator>
  <cp:keywords/>
  <dc:description/>
  <cp:lastModifiedBy>INMACULADA GALVEZ ROMERO</cp:lastModifiedBy>
  <cp:revision>37</cp:revision>
  <cp:lastPrinted>2011-04-27T15:05:00Z</cp:lastPrinted>
  <dcterms:created xsi:type="dcterms:W3CDTF">2022-04-07T11:17:00Z</dcterms:created>
  <dcterms:modified xsi:type="dcterms:W3CDTF">2022-04-08T11:28:00Z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0x01010021EABD490A3E0A4696CE670859502FEA</vt:lpwstr>
  </property>
</Properties>
</file>